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12" w:rsidRDefault="00D13430" w:rsidP="00C5245E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>CONVERSION OF COMPANY STATUS FROM SINGLE MEMBER COPANY TO PRIVATE COMPANY</w:t>
      </w:r>
    </w:p>
    <w:p w:rsidR="00105777" w:rsidRPr="00F56046" w:rsidRDefault="000F7563" w:rsidP="00F56046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  <w:r w:rsidRPr="00105777">
        <w:rPr>
          <w:rStyle w:val="Hyperlink"/>
          <w:b/>
          <w:color w:val="auto"/>
          <w:u w:val="none"/>
        </w:rPr>
        <w:t xml:space="preserve">Relevant provisions: </w:t>
      </w:r>
      <w:r w:rsidR="00D13430">
        <w:rPr>
          <w:rStyle w:val="Hyperlink"/>
          <w:b/>
          <w:color w:val="auto"/>
          <w:u w:val="none"/>
        </w:rPr>
        <w:t>Rule 4 of the Single Member company Rules 2003</w:t>
      </w:r>
    </w:p>
    <w:p w:rsidR="006C2A46" w:rsidRDefault="006C2A46" w:rsidP="006C2A46">
      <w:pPr>
        <w:pStyle w:val="Default"/>
        <w:rPr>
          <w:rStyle w:val="Hyperlink"/>
          <w:b/>
          <w:color w:val="auto"/>
          <w:u w:val="none"/>
        </w:rPr>
      </w:pPr>
    </w:p>
    <w:p w:rsidR="006C2A46" w:rsidRPr="006C2A46" w:rsidRDefault="006C2A46" w:rsidP="006C2A46">
      <w:pPr>
        <w:pStyle w:val="Default"/>
        <w:rPr>
          <w:rStyle w:val="Hyperlink"/>
          <w:color w:val="auto"/>
          <w:u w:val="none"/>
        </w:rPr>
      </w:pPr>
      <w:r w:rsidRPr="006C2A46">
        <w:rPr>
          <w:rStyle w:val="Hyperlink"/>
          <w:b/>
          <w:color w:val="auto"/>
          <w:u w:val="none"/>
        </w:rPr>
        <w:t>Mode of documents submission</w:t>
      </w:r>
      <w:r w:rsidRPr="006C2A46">
        <w:rPr>
          <w:rStyle w:val="Hyperlink"/>
          <w:color w:val="auto"/>
          <w:u w:val="none"/>
        </w:rPr>
        <w:t>: Both online and offline</w:t>
      </w:r>
    </w:p>
    <w:p w:rsidR="00CF4C12" w:rsidRDefault="00C5245E" w:rsidP="00CF4C12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308113</wp:posOffset>
                </wp:positionH>
                <wp:positionV relativeFrom="paragraph">
                  <wp:posOffset>226558</wp:posOffset>
                </wp:positionV>
                <wp:extent cx="5536096" cy="914400"/>
                <wp:effectExtent l="57150" t="38100" r="8382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6096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45E" w:rsidRPr="00C5245E" w:rsidRDefault="007E5687" w:rsidP="00C5245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 1</w:t>
                            </w:r>
                          </w:p>
                          <w:p w:rsidR="00C5245E" w:rsidRPr="00602A98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The proposal for conversion of status of single member company into private company is firstly discussed and approved by the Board of Directors.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4.25pt;margin-top:17.85pt;width:435.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5245E" w:rsidRPr="00C5245E" w:rsidRDefault="007E5687" w:rsidP="00C5245E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 1</w:t>
                      </w:r>
                    </w:p>
                    <w:p w:rsidR="00C5245E" w:rsidRPr="00602A98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The proposal for conversion of status of single member company into private company is firstly discussed and approved by the Board of Directors.</w:t>
                      </w:r>
                    </w:p>
                  </w:txbxContent>
                </v:textbox>
              </v:rect>
            </w:pict>
          </mc:Fallback>
        </mc:AlternateContent>
      </w:r>
    </w:p>
    <w:p w:rsidR="00C5245E" w:rsidRDefault="00C5245E" w:rsidP="00CF4C12">
      <w:pPr>
        <w:rPr>
          <w:b/>
          <w:u w:val="single"/>
        </w:rPr>
      </w:pPr>
    </w:p>
    <w:p w:rsidR="00C5245E" w:rsidRDefault="00C5245E" w:rsidP="00CF4C12">
      <w:pPr>
        <w:rPr>
          <w:b/>
          <w:u w:val="single"/>
        </w:rPr>
      </w:pPr>
    </w:p>
    <w:p w:rsidR="001A4226" w:rsidRDefault="00602A98" w:rsidP="00CF4C12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1B4C6" wp14:editId="2C00D8E9">
                <wp:simplePos x="0" y="0"/>
                <wp:positionH relativeFrom="column">
                  <wp:posOffset>307975</wp:posOffset>
                </wp:positionH>
                <wp:positionV relativeFrom="paragraph">
                  <wp:posOffset>299720</wp:posOffset>
                </wp:positionV>
                <wp:extent cx="5535930" cy="774700"/>
                <wp:effectExtent l="57150" t="38100" r="8382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774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226" w:rsidRPr="00C5245E" w:rsidRDefault="002B0496" w:rsidP="001A422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 2</w:t>
                            </w:r>
                          </w:p>
                          <w:p w:rsidR="001A4226" w:rsidRPr="00D16FA1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21 days’ notice accompanied with the proposed special resolution is issued for convening the general meeting of shareholders of the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4.25pt;margin-top:23.6pt;width:435.9pt;height: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4226" w:rsidRPr="00C5245E" w:rsidRDefault="002B0496" w:rsidP="001A4226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 2</w:t>
                      </w:r>
                    </w:p>
                    <w:p w:rsidR="001A4226" w:rsidRPr="00D16FA1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21 days’ notice accompanied with the proposed special resolution is issued for convening the general meeting of shareholders of the company.</w:t>
                      </w:r>
                    </w:p>
                  </w:txbxContent>
                </v:textbox>
              </v:rect>
            </w:pict>
          </mc:Fallback>
        </mc:AlternateContent>
      </w:r>
    </w:p>
    <w:p w:rsidR="001A4226" w:rsidRDefault="001A4226" w:rsidP="00CF4C12">
      <w:pPr>
        <w:rPr>
          <w:b/>
          <w:u w:val="single"/>
        </w:rPr>
      </w:pPr>
    </w:p>
    <w:p w:rsidR="001A4226" w:rsidRDefault="001A4226" w:rsidP="00CF4C12">
      <w:pPr>
        <w:rPr>
          <w:b/>
          <w:u w:val="single"/>
        </w:rPr>
      </w:pPr>
    </w:p>
    <w:p w:rsidR="001A4226" w:rsidRDefault="00602A98" w:rsidP="00CF4C12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B2EB8" wp14:editId="2C3C2CCD">
                <wp:simplePos x="0" y="0"/>
                <wp:positionH relativeFrom="column">
                  <wp:posOffset>307975</wp:posOffset>
                </wp:positionH>
                <wp:positionV relativeFrom="paragraph">
                  <wp:posOffset>274955</wp:posOffset>
                </wp:positionV>
                <wp:extent cx="5535930" cy="1520190"/>
                <wp:effectExtent l="57150" t="38100" r="83820" b="990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15201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226" w:rsidRPr="00C5245E" w:rsidRDefault="002B0496" w:rsidP="001A422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 3</w:t>
                            </w:r>
                          </w:p>
                          <w:p w:rsidR="001A4226" w:rsidRPr="00602A98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color w:val="000000"/>
                                <w:sz w:val="24"/>
                                <w:szCs w:val="24"/>
                              </w:rPr>
                              <w:t xml:space="preserve">Resolution for conversion of the status from Single Member Company into Private Company and alteration in Articles of Association is placed before the members </w:t>
                            </w:r>
                            <w:proofErr w:type="gramStart"/>
                            <w:r>
                              <w:rPr>
                                <w:rFonts w:ascii="BookAntiqua" w:hAnsi="BookAntiqua" w:cs="BookAntiqua"/>
                                <w:color w:val="000000"/>
                                <w:sz w:val="24"/>
                                <w:szCs w:val="24"/>
                              </w:rPr>
                              <w:t>which</w:t>
                            </w:r>
                            <w:proofErr w:type="gramEnd"/>
                            <w:r>
                              <w:rPr>
                                <w:rFonts w:ascii="BookAntiqua" w:hAnsi="BookAntiqua" w:cs="BookAntiqua"/>
                                <w:color w:val="000000"/>
                                <w:sz w:val="24"/>
                                <w:szCs w:val="24"/>
                              </w:rPr>
                              <w:t xml:space="preserve"> is carried as special resolution. There is significant difference in the Articles of both the types of companies. Therefore; the resolution not only meant for removal of word “(SMC)” from the name of the company, but would also to substitute new articles for a private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24.25pt;margin-top:21.65pt;width:435.9pt;height:11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4226" w:rsidRPr="00C5245E" w:rsidRDefault="002B0496" w:rsidP="001A4226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 3</w:t>
                      </w:r>
                    </w:p>
                    <w:p w:rsidR="001A4226" w:rsidRPr="00602A98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color w:val="000000"/>
                          <w:sz w:val="24"/>
                          <w:szCs w:val="24"/>
                        </w:rPr>
                        <w:t xml:space="preserve">Resolution for conversion of the status from Single Member Company into Private Company and alteration in Articles of Association is placed before the members </w:t>
                      </w:r>
                      <w:proofErr w:type="gramStart"/>
                      <w:r>
                        <w:rPr>
                          <w:rFonts w:ascii="BookAntiqua" w:hAnsi="BookAntiqua" w:cs="BookAntiqua"/>
                          <w:color w:val="000000"/>
                          <w:sz w:val="24"/>
                          <w:szCs w:val="24"/>
                        </w:rPr>
                        <w:t>which</w:t>
                      </w:r>
                      <w:proofErr w:type="gramEnd"/>
                      <w:r>
                        <w:rPr>
                          <w:rFonts w:ascii="BookAntiqua" w:hAnsi="BookAntiqua" w:cs="BookAntiqua"/>
                          <w:color w:val="000000"/>
                          <w:sz w:val="24"/>
                          <w:szCs w:val="24"/>
                        </w:rPr>
                        <w:t xml:space="preserve"> is carried as special resolution. There is significant difference in the Articles of both the types of companies. Therefore; the resolution not only meant for removal of word “(SMC)” from the name of the company, but would also to substitute new articles for a private company.</w:t>
                      </w:r>
                    </w:p>
                  </w:txbxContent>
                </v:textbox>
              </v:rect>
            </w:pict>
          </mc:Fallback>
        </mc:AlternateContent>
      </w:r>
    </w:p>
    <w:p w:rsidR="001A4226" w:rsidRDefault="001A4226" w:rsidP="00CF4C12">
      <w:pPr>
        <w:rPr>
          <w:b/>
          <w:u w:val="single"/>
        </w:rPr>
      </w:pPr>
    </w:p>
    <w:p w:rsidR="00C5245E" w:rsidRDefault="00C5245E" w:rsidP="00CF4C12">
      <w:pPr>
        <w:rPr>
          <w:b/>
          <w:u w:val="single"/>
        </w:rPr>
      </w:pPr>
    </w:p>
    <w:p w:rsidR="001A4226" w:rsidRDefault="001A4226" w:rsidP="00CF4C12">
      <w:pPr>
        <w:rPr>
          <w:b/>
          <w:u w:val="single"/>
        </w:rPr>
      </w:pPr>
    </w:p>
    <w:p w:rsidR="001A4226" w:rsidRDefault="001A4226" w:rsidP="00CF4C12">
      <w:pPr>
        <w:rPr>
          <w:b/>
          <w:u w:val="single"/>
        </w:rPr>
      </w:pPr>
    </w:p>
    <w:p w:rsidR="001A4226" w:rsidRDefault="001A4226" w:rsidP="00CF4C12">
      <w:pPr>
        <w:rPr>
          <w:b/>
          <w:u w:val="single"/>
        </w:rPr>
      </w:pPr>
    </w:p>
    <w:p w:rsidR="001A4226" w:rsidRDefault="00602A98" w:rsidP="00CF4C12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5A0FCE" wp14:editId="701D34BD">
                <wp:simplePos x="0" y="0"/>
                <wp:positionH relativeFrom="column">
                  <wp:posOffset>308113</wp:posOffset>
                </wp:positionH>
                <wp:positionV relativeFrom="paragraph">
                  <wp:posOffset>26725</wp:posOffset>
                </wp:positionV>
                <wp:extent cx="5535930" cy="993913"/>
                <wp:effectExtent l="57150" t="38100" r="83820" b="920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99391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16FA1" w:rsidRDefault="001B0A04" w:rsidP="00D16FA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STEP 4</w:t>
                            </w:r>
                          </w:p>
                          <w:p w:rsidR="00D16FA1" w:rsidRPr="00602A98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The company has to increase its directors and shareholders to minimum number i.e. 2 required for private company within 15 days of the passing of special resolution under section 174 (i) (b) of the Ordinance.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24.25pt;margin-top:2.1pt;width:435.9pt;height:7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16FA1" w:rsidRDefault="001B0A04" w:rsidP="00D16FA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STEP 4</w:t>
                      </w:r>
                    </w:p>
                    <w:p w:rsidR="00D16FA1" w:rsidRPr="00602A98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The company has to increase its directors and shareholders to minimum number i.e. 2 required for private company within 15 days of the passing of special resolution under section 174 (i) (b) of the Ordinance.</w:t>
                      </w:r>
                    </w:p>
                  </w:txbxContent>
                </v:textbox>
              </v:rect>
            </w:pict>
          </mc:Fallback>
        </mc:AlternateContent>
      </w:r>
    </w:p>
    <w:p w:rsidR="001A4226" w:rsidRDefault="001A4226" w:rsidP="00CF4C12">
      <w:pPr>
        <w:rPr>
          <w:b/>
          <w:u w:val="single"/>
        </w:rPr>
      </w:pPr>
    </w:p>
    <w:p w:rsidR="001A4226" w:rsidRDefault="001A4226" w:rsidP="00CF4C12">
      <w:pPr>
        <w:rPr>
          <w:b/>
          <w:u w:val="single"/>
        </w:rPr>
      </w:pPr>
    </w:p>
    <w:p w:rsidR="001A4226" w:rsidRDefault="005A6994" w:rsidP="00CF4C12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577C1" wp14:editId="633FCAB4">
                <wp:simplePos x="0" y="0"/>
                <wp:positionH relativeFrom="column">
                  <wp:posOffset>308113</wp:posOffset>
                </wp:positionH>
                <wp:positionV relativeFrom="paragraph">
                  <wp:posOffset>170263</wp:posOffset>
                </wp:positionV>
                <wp:extent cx="5535930" cy="2256182"/>
                <wp:effectExtent l="57150" t="38100" r="83820" b="869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225618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E5687" w:rsidRDefault="002277F1" w:rsidP="007E568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</w:t>
                            </w:r>
                            <w:r w:rsidR="00C5245E" w:rsidRPr="007E5687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A4226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</w:p>
                          <w:p w:rsidR="00C5245E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The company has to file the under-mentioned documents with the registrar concerned:-</w:t>
                            </w:r>
                          </w:p>
                          <w:p w:rsidR="00602A98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</w:p>
                          <w:p w:rsidR="00602A98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a)  Form 26 within 15 days of passing of special resolution.</w:t>
                            </w:r>
                          </w:p>
                          <w:p w:rsidR="00602A98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b)  Amended copy of Memorandum and Articles of Association.</w:t>
                            </w:r>
                          </w:p>
                          <w:p w:rsidR="00602A98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c)  Circular u/s 86(3) (if further shares are offered to the existing members)</w:t>
                            </w:r>
                          </w:p>
                          <w:p w:rsidR="00602A98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d)  Form - 3 (in case if further allotment of shares is made).</w:t>
                            </w:r>
                          </w:p>
                          <w:p w:rsidR="00602A98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e)  Form - 29 (for the appointment of additional director, within 14 days of the date of appointment).</w:t>
                            </w:r>
                          </w:p>
                          <w:p w:rsidR="00602A98" w:rsidRDefault="00602A98" w:rsidP="005A69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 xml:space="preserve">f)  Bank challan evidencing the deposit of filing fee of all the aforesaid documents in any of </w:t>
                            </w:r>
                            <w:r w:rsidR="00D13430"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the designated branches of MCB.</w:t>
                            </w:r>
                          </w:p>
                          <w:p w:rsidR="00602A98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</w:p>
                          <w:p w:rsidR="00602A98" w:rsidRPr="00D16FA1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24.25pt;margin-top:13.4pt;width:435.9pt;height:17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E5687" w:rsidRDefault="002277F1" w:rsidP="007E5687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</w:t>
                      </w:r>
                      <w:r w:rsidR="00C5245E" w:rsidRPr="007E5687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A4226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5</w:t>
                      </w:r>
                    </w:p>
                    <w:p w:rsidR="00C5245E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The company has to file the under-mentioned documents with the registrar concerned:-</w:t>
                      </w:r>
                    </w:p>
                    <w:p w:rsidR="00602A98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</w:p>
                    <w:p w:rsidR="00602A98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a)  Form 26 within 15 days of passing of special resolution.</w:t>
                      </w:r>
                    </w:p>
                    <w:p w:rsidR="00602A98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b)  Amended copy of Memorandum and Articles of Association.</w:t>
                      </w:r>
                    </w:p>
                    <w:p w:rsidR="00602A98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c)  Circular u/s 86(3) (if further shares are offered to the existing members)</w:t>
                      </w:r>
                    </w:p>
                    <w:p w:rsidR="00602A98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d)  Form - 3 (in case if further allotment of shares is made).</w:t>
                      </w:r>
                    </w:p>
                    <w:p w:rsidR="00602A98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e)  Form - 29 (for the appointment of additional director, within 14 days of the date of appointment).</w:t>
                      </w:r>
                    </w:p>
                    <w:p w:rsidR="00602A98" w:rsidRDefault="00602A98" w:rsidP="005A69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 xml:space="preserve">f)  Bank challan evidencing the deposit of filing fee of all the aforesaid documents in any of </w:t>
                      </w:r>
                      <w:r w:rsidR="00D13430"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the designated branches of MCB.</w:t>
                      </w:r>
                    </w:p>
                    <w:p w:rsidR="00602A98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</w:p>
                    <w:p w:rsidR="00602A98" w:rsidRPr="00D16FA1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4226" w:rsidRDefault="001A4226" w:rsidP="00CF4C12">
      <w:pPr>
        <w:rPr>
          <w:b/>
          <w:u w:val="single"/>
        </w:rPr>
      </w:pPr>
    </w:p>
    <w:p w:rsidR="00C5245E" w:rsidRDefault="00C5245E" w:rsidP="00CF4C12">
      <w:pPr>
        <w:rPr>
          <w:b/>
          <w:u w:val="single"/>
        </w:rPr>
      </w:pPr>
    </w:p>
    <w:p w:rsidR="00C5245E" w:rsidRDefault="00C5245E" w:rsidP="00CF4C12">
      <w:pPr>
        <w:rPr>
          <w:b/>
          <w:u w:val="single"/>
        </w:rPr>
      </w:pPr>
    </w:p>
    <w:p w:rsidR="00C5245E" w:rsidRDefault="00C5245E" w:rsidP="00CF4C12">
      <w:pPr>
        <w:rPr>
          <w:b/>
          <w:u w:val="single"/>
        </w:rPr>
      </w:pPr>
    </w:p>
    <w:p w:rsidR="001E571C" w:rsidRDefault="001E571C" w:rsidP="00CF4C12">
      <w:pPr>
        <w:rPr>
          <w:b/>
          <w:u w:val="single"/>
        </w:rPr>
      </w:pPr>
    </w:p>
    <w:p w:rsidR="00D16FA1" w:rsidRDefault="00D16FA1" w:rsidP="00CF4C12">
      <w:pPr>
        <w:rPr>
          <w:b/>
          <w:u w:val="single"/>
        </w:rPr>
      </w:pPr>
    </w:p>
    <w:p w:rsidR="00D16FA1" w:rsidRDefault="00D16FA1" w:rsidP="00CF4C12">
      <w:pPr>
        <w:rPr>
          <w:b/>
          <w:u w:val="single"/>
        </w:rPr>
      </w:pPr>
    </w:p>
    <w:p w:rsidR="00D16FA1" w:rsidRDefault="00D16FA1" w:rsidP="00CF4C12">
      <w:pPr>
        <w:rPr>
          <w:b/>
          <w:u w:val="single"/>
        </w:rPr>
      </w:pPr>
    </w:p>
    <w:p w:rsidR="00D16FA1" w:rsidRDefault="00D13430" w:rsidP="00CF4C12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41980A" wp14:editId="62727D8A">
                <wp:simplePos x="0" y="0"/>
                <wp:positionH relativeFrom="column">
                  <wp:posOffset>228600</wp:posOffset>
                </wp:positionH>
                <wp:positionV relativeFrom="paragraph">
                  <wp:posOffset>-528955</wp:posOffset>
                </wp:positionV>
                <wp:extent cx="5535930" cy="814705"/>
                <wp:effectExtent l="57150" t="38100" r="83820" b="996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814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A4226" w:rsidRDefault="001A4226" w:rsidP="001A422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</w:t>
                            </w:r>
                            <w:r w:rsidRPr="007E5687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16FA1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</w:p>
                          <w:p w:rsidR="001A4226" w:rsidRPr="00D16FA1" w:rsidRDefault="00602A98" w:rsidP="005A69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The registrar concerned issues a filing c</w:t>
                            </w:r>
                            <w:r w:rsidR="005A6994"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 xml:space="preserve">ertificate regarding conversion </w:t>
                            </w:r>
                            <w:r w:rsidR="00426714"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 xml:space="preserve">of single </w:t>
                            </w: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member company in</w:t>
                            </w:r>
                            <w:r w:rsidR="005A6994"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 xml:space="preserve">to private company and a filing </w:t>
                            </w: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certificate.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18pt;margin-top:-41.65pt;width:435.9pt;height:6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4226" w:rsidRDefault="001A4226" w:rsidP="001A4226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</w:t>
                      </w:r>
                      <w:r w:rsidRPr="007E5687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16FA1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</w:p>
                    <w:p w:rsidR="001A4226" w:rsidRPr="00D16FA1" w:rsidRDefault="00602A98" w:rsidP="005A69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The registrar concerned issues a filing c</w:t>
                      </w:r>
                      <w:r w:rsidR="005A6994"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 xml:space="preserve">ertificate regarding conversion </w:t>
                      </w:r>
                      <w:r w:rsidR="00426714"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 xml:space="preserve">of single </w:t>
                      </w: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member company in</w:t>
                      </w:r>
                      <w:r w:rsidR="005A6994"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 xml:space="preserve">to private company and a filing </w:t>
                      </w: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certificate.</w:t>
                      </w:r>
                    </w:p>
                  </w:txbxContent>
                </v:textbox>
              </v:rect>
            </w:pict>
          </mc:Fallback>
        </mc:AlternateContent>
      </w:r>
    </w:p>
    <w:p w:rsidR="00D16FA1" w:rsidRDefault="00D16FA1" w:rsidP="00CF4C12">
      <w:pPr>
        <w:rPr>
          <w:b/>
          <w:u w:val="single"/>
        </w:rPr>
      </w:pPr>
    </w:p>
    <w:p w:rsidR="00D13430" w:rsidRDefault="00D13430" w:rsidP="00CF4C12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17ECF4" wp14:editId="33EA2EB9">
                <wp:simplePos x="0" y="0"/>
                <wp:positionH relativeFrom="column">
                  <wp:posOffset>177965</wp:posOffset>
                </wp:positionH>
                <wp:positionV relativeFrom="paragraph">
                  <wp:posOffset>304579</wp:posOffset>
                </wp:positionV>
                <wp:extent cx="5535930" cy="934085"/>
                <wp:effectExtent l="57150" t="38100" r="83820" b="946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9340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A4226" w:rsidRDefault="001A4226" w:rsidP="001A422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</w:t>
                            </w:r>
                            <w:r w:rsidRPr="007E5687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16FA1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</w:p>
                          <w:p w:rsidR="001A4226" w:rsidRPr="004D6B78" w:rsidRDefault="00602A98" w:rsidP="00602A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The Company may obtain a certi</w:t>
                            </w:r>
                            <w:r w:rsidR="005A6994"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 xml:space="preserve">fied copy of the Memorandum and </w:t>
                            </w: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Articles of Association on payment of c</w:t>
                            </w:r>
                            <w:r w:rsidR="005A6994"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 xml:space="preserve">opying fee of Rs.250/- for the </w:t>
                            </w: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 xml:space="preserve">application submitted online and </w:t>
                            </w:r>
                            <w:r w:rsidR="005A6994"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 xml:space="preserve">500/- in physical form, and the </w:t>
                            </w: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requisite court fee stamps.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14pt;margin-top:24pt;width:435.9pt;height:7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4226" w:rsidRDefault="001A4226" w:rsidP="001A4226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</w:t>
                      </w:r>
                      <w:r w:rsidRPr="007E5687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16FA1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7</w:t>
                      </w:r>
                    </w:p>
                    <w:p w:rsidR="001A4226" w:rsidRPr="004D6B78" w:rsidRDefault="00602A98" w:rsidP="00602A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The Company may obtain a certi</w:t>
                      </w:r>
                      <w:r w:rsidR="005A6994"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 xml:space="preserve">fied copy of the Memorandum and </w:t>
                      </w: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Articles of Association on payment of c</w:t>
                      </w:r>
                      <w:r w:rsidR="005A6994"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 xml:space="preserve">opying fee of Rs.250/- for the </w:t>
                      </w: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 xml:space="preserve">application submitted online and </w:t>
                      </w:r>
                      <w:r w:rsidR="005A6994"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 xml:space="preserve">500/- in physical form, and the </w:t>
                      </w: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requisite court fee stamps.</w:t>
                      </w:r>
                    </w:p>
                  </w:txbxContent>
                </v:textbox>
              </v:rect>
            </w:pict>
          </mc:Fallback>
        </mc:AlternateContent>
      </w:r>
    </w:p>
    <w:p w:rsidR="00D13430" w:rsidRDefault="00D13430" w:rsidP="00CF4C12">
      <w:pPr>
        <w:rPr>
          <w:b/>
          <w:u w:val="single"/>
        </w:rPr>
      </w:pPr>
    </w:p>
    <w:p w:rsidR="00D13430" w:rsidRDefault="00D13430" w:rsidP="00CF4C12">
      <w:pPr>
        <w:rPr>
          <w:b/>
          <w:u w:val="single"/>
        </w:rPr>
      </w:pPr>
    </w:p>
    <w:p w:rsidR="00D13430" w:rsidRDefault="00D13430" w:rsidP="00CF4C12">
      <w:pPr>
        <w:rPr>
          <w:b/>
          <w:u w:val="single"/>
        </w:rPr>
      </w:pPr>
    </w:p>
    <w:p w:rsidR="00D13430" w:rsidRDefault="00D13430" w:rsidP="00CF4C12">
      <w:pPr>
        <w:rPr>
          <w:b/>
          <w:u w:val="single"/>
        </w:rPr>
      </w:pPr>
    </w:p>
    <w:p w:rsidR="00D16FA1" w:rsidRDefault="00426714" w:rsidP="00CF4C12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37A194" wp14:editId="323E716D">
                <wp:simplePos x="0" y="0"/>
                <wp:positionH relativeFrom="column">
                  <wp:posOffset>178904</wp:posOffset>
                </wp:positionH>
                <wp:positionV relativeFrom="paragraph">
                  <wp:posOffset>208584</wp:posOffset>
                </wp:positionV>
                <wp:extent cx="5535930" cy="805069"/>
                <wp:effectExtent l="57150" t="38100" r="83820" b="908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80506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A4226" w:rsidRDefault="001A4226" w:rsidP="001A422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</w:t>
                            </w:r>
                            <w:r w:rsidRPr="007E5687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460DB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</w:p>
                          <w:p w:rsidR="001A4226" w:rsidRPr="002B0496" w:rsidRDefault="00602A98" w:rsidP="005A69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Change of status is recorded in all letterhe</w:t>
                            </w:r>
                            <w:r w:rsidR="005A6994"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 xml:space="preserve">ads, bills, invoices, seal etc. </w:t>
                            </w: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Copies of the Memorandum and A</w:t>
                            </w:r>
                            <w:r w:rsidR="005A6994"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 xml:space="preserve">rticles of Association are also </w:t>
                            </w: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recorded with the alteration.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14.1pt;margin-top:16.4pt;width:435.9pt;height:6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A4226" w:rsidRDefault="001A4226" w:rsidP="001A4226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</w:t>
                      </w:r>
                      <w:r w:rsidRPr="007E5687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4460DB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8</w:t>
                      </w:r>
                    </w:p>
                    <w:p w:rsidR="001A4226" w:rsidRPr="002B0496" w:rsidRDefault="00602A98" w:rsidP="005A69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Change of status is recorded in all letterhe</w:t>
                      </w:r>
                      <w:r w:rsidR="005A6994"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 xml:space="preserve">ads, bills, invoices, seal etc. </w:t>
                      </w: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Copies of the Memorandum and A</w:t>
                      </w:r>
                      <w:r w:rsidR="005A6994"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 xml:space="preserve">rticles of Association are also </w:t>
                      </w: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recorded with the alteration.</w:t>
                      </w:r>
                    </w:p>
                  </w:txbxContent>
                </v:textbox>
              </v:rect>
            </w:pict>
          </mc:Fallback>
        </mc:AlternateContent>
      </w:r>
    </w:p>
    <w:p w:rsidR="00D16FA1" w:rsidRDefault="00D16FA1" w:rsidP="00CF4C12">
      <w:pPr>
        <w:rPr>
          <w:b/>
          <w:u w:val="single"/>
        </w:rPr>
      </w:pPr>
    </w:p>
    <w:p w:rsidR="00D16FA1" w:rsidRDefault="00D16FA1" w:rsidP="00CF4C12">
      <w:pPr>
        <w:rPr>
          <w:b/>
          <w:u w:val="single"/>
        </w:rPr>
      </w:pPr>
    </w:p>
    <w:p w:rsidR="00D16FA1" w:rsidRPr="00426714" w:rsidRDefault="00D16FA1" w:rsidP="00CF4C12">
      <w:pPr>
        <w:rPr>
          <w:b/>
          <w:sz w:val="16"/>
          <w:szCs w:val="16"/>
          <w:u w:val="single"/>
        </w:rPr>
      </w:pPr>
    </w:p>
    <w:p w:rsidR="00E224D1" w:rsidRPr="00F71EC4" w:rsidRDefault="006215DD" w:rsidP="00E224D1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  <w:r w:rsidRPr="001A1F67">
        <w:rPr>
          <w:rFonts w:ascii="Book Antiqua" w:hAnsi="Book Antiqua"/>
          <w:sz w:val="24"/>
          <w:szCs w:val="24"/>
        </w:rPr>
        <w:t xml:space="preserve">Please note detailed </w:t>
      </w:r>
      <w:r w:rsidR="001A1F67" w:rsidRPr="001A1F67">
        <w:rPr>
          <w:rFonts w:ascii="Book Antiqua" w:hAnsi="Book Antiqua"/>
          <w:sz w:val="24"/>
          <w:szCs w:val="24"/>
        </w:rPr>
        <w:t>guide for change of company kind</w:t>
      </w:r>
      <w:r w:rsidR="008032BD">
        <w:rPr>
          <w:rFonts w:ascii="Book Antiqua" w:hAnsi="Book Antiqua"/>
          <w:sz w:val="24"/>
          <w:szCs w:val="24"/>
        </w:rPr>
        <w:t xml:space="preserve"> process may be accessed at </w:t>
      </w:r>
      <w:r w:rsidRPr="001A1F67">
        <w:rPr>
          <w:rFonts w:ascii="Book Antiqua" w:hAnsi="Book Antiqua"/>
          <w:sz w:val="24"/>
          <w:szCs w:val="24"/>
        </w:rPr>
        <w:t>link:</w:t>
      </w:r>
      <w:r w:rsidR="00E224D1" w:rsidRPr="00E224D1">
        <w:rPr>
          <w:rFonts w:ascii="Book Antiqua" w:hAnsi="Book Antiqua"/>
          <w:b/>
          <w:sz w:val="24"/>
          <w:szCs w:val="24"/>
          <w:u w:val="single"/>
        </w:rPr>
        <w:t xml:space="preserve"> </w:t>
      </w:r>
    </w:p>
    <w:p w:rsidR="00E224D1" w:rsidRDefault="00E224D1" w:rsidP="00E224D1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  <w:hyperlink r:id="rId6" w:history="1">
        <w:r w:rsidRPr="002C44C7">
          <w:rPr>
            <w:rStyle w:val="Hyperlink"/>
            <w:rFonts w:ascii="Book Antiqua" w:hAnsi="Book Antiqua"/>
            <w:b/>
            <w:sz w:val="24"/>
            <w:szCs w:val="24"/>
          </w:rPr>
          <w:t>http://www.secp.gov.pk/media-center/guide-books/</w:t>
        </w:r>
      </w:hyperlink>
    </w:p>
    <w:p w:rsidR="006215DD" w:rsidRPr="008032BD" w:rsidRDefault="006215DD" w:rsidP="00E224D1">
      <w:pPr>
        <w:pStyle w:val="ListParagraph"/>
        <w:rPr>
          <w:rFonts w:ascii="Book Antiqua" w:hAnsi="Book Antiqua"/>
          <w:b/>
          <w:sz w:val="24"/>
          <w:szCs w:val="24"/>
          <w:u w:val="single"/>
        </w:rPr>
      </w:pPr>
      <w:bookmarkStart w:id="0" w:name="_GoBack"/>
      <w:bookmarkEnd w:id="0"/>
      <w:r w:rsidRPr="001A1F67">
        <w:rPr>
          <w:rFonts w:ascii="Book Antiqua" w:hAnsi="Book Antiqua"/>
          <w:sz w:val="24"/>
          <w:szCs w:val="24"/>
        </w:rPr>
        <w:t xml:space="preserve"> </w:t>
      </w:r>
    </w:p>
    <w:p w:rsidR="008032BD" w:rsidRPr="00426714" w:rsidRDefault="008032BD" w:rsidP="008032BD">
      <w:pPr>
        <w:pStyle w:val="ListParagraph"/>
        <w:jc w:val="both"/>
        <w:rPr>
          <w:rFonts w:ascii="Book Antiqua" w:hAnsi="Book Antiqua"/>
          <w:b/>
          <w:sz w:val="16"/>
          <w:szCs w:val="16"/>
          <w:u w:val="single"/>
        </w:rPr>
      </w:pPr>
    </w:p>
    <w:p w:rsidR="00E224D1" w:rsidRDefault="002277F1" w:rsidP="00E224D1">
      <w:pPr>
        <w:pStyle w:val="ListParagraph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>T</w:t>
      </w:r>
      <w:r w:rsidR="00A2527D" w:rsidRPr="002277F1">
        <w:rPr>
          <w:rFonts w:ascii="Book Antiqua" w:hAnsi="Book Antiqua"/>
          <w:sz w:val="24"/>
          <w:szCs w:val="24"/>
        </w:rPr>
        <w:t>he detailed process</w:t>
      </w:r>
      <w:r w:rsidR="001E571C" w:rsidRPr="002277F1">
        <w:rPr>
          <w:rFonts w:ascii="Book Antiqua" w:hAnsi="Book Antiqua"/>
          <w:sz w:val="24"/>
          <w:szCs w:val="24"/>
        </w:rPr>
        <w:t xml:space="preserve"> for filing a</w:t>
      </w:r>
      <w:r w:rsidR="008032BD">
        <w:rPr>
          <w:rFonts w:ascii="Book Antiqua" w:hAnsi="Book Antiqua"/>
          <w:sz w:val="24"/>
          <w:szCs w:val="24"/>
        </w:rPr>
        <w:t>pplication for change of company kind</w:t>
      </w:r>
      <w:r w:rsidR="001E571C" w:rsidRPr="002277F1">
        <w:rPr>
          <w:rFonts w:ascii="Book Antiqua" w:hAnsi="Book Antiqua"/>
          <w:sz w:val="24"/>
          <w:szCs w:val="24"/>
        </w:rPr>
        <w:t xml:space="preserve"> online through eservices</w:t>
      </w:r>
      <w:r w:rsidR="00A2527D" w:rsidRPr="002277F1">
        <w:rPr>
          <w:rFonts w:ascii="Book Antiqua" w:hAnsi="Book Antiqua"/>
          <w:sz w:val="24"/>
          <w:szCs w:val="24"/>
        </w:rPr>
        <w:t xml:space="preserve"> may be accessed at link:</w:t>
      </w:r>
      <w:r w:rsidR="00E224D1">
        <w:rPr>
          <w:rFonts w:ascii="Book Antiqua" w:hAnsi="Book Antiqua"/>
          <w:sz w:val="24"/>
          <w:szCs w:val="24"/>
        </w:rPr>
        <w:t xml:space="preserve"> </w:t>
      </w:r>
      <w:hyperlink r:id="rId7" w:history="1">
        <w:r w:rsidR="00E224D1" w:rsidRPr="002C44C7">
          <w:rPr>
            <w:rStyle w:val="Hyperlink"/>
            <w:rFonts w:ascii="Book Antiqua" w:hAnsi="Book Antiqua"/>
            <w:b/>
            <w:sz w:val="24"/>
            <w:szCs w:val="24"/>
          </w:rPr>
          <w:t>https://eservices.secp.gov.pk/eServices/</w:t>
        </w:r>
      </w:hyperlink>
    </w:p>
    <w:p w:rsidR="008032BD" w:rsidRPr="00EA3A8C" w:rsidRDefault="008032BD" w:rsidP="00E224D1">
      <w:pPr>
        <w:pStyle w:val="ListParagraph"/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EA3A8C" w:rsidRPr="00426714" w:rsidRDefault="00EA3A8C" w:rsidP="00955EF6">
      <w:pPr>
        <w:pStyle w:val="ListParagraph"/>
        <w:jc w:val="both"/>
      </w:pPr>
    </w:p>
    <w:p w:rsidR="00E224D1" w:rsidRDefault="007E5687" w:rsidP="00E224D1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2277F1">
        <w:rPr>
          <w:rFonts w:ascii="Book Antiqua" w:hAnsi="Book Antiqua"/>
          <w:sz w:val="24"/>
          <w:szCs w:val="24"/>
        </w:rPr>
        <w:t>The schedule of fees may be accessed at link:</w:t>
      </w:r>
      <w:r w:rsidRPr="002277F1">
        <w:rPr>
          <w:rFonts w:ascii="Book Antiqua" w:hAnsi="Book Antiqua"/>
          <w:b/>
          <w:sz w:val="24"/>
          <w:szCs w:val="24"/>
          <w:u w:val="single"/>
        </w:rPr>
        <w:t xml:space="preserve"> </w:t>
      </w:r>
    </w:p>
    <w:p w:rsidR="00E224D1" w:rsidRDefault="00E224D1" w:rsidP="00E224D1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hyperlink r:id="rId8" w:history="1">
        <w:r w:rsidRPr="002C44C7">
          <w:rPr>
            <w:rStyle w:val="Hyperlink"/>
            <w:rFonts w:ascii="Book Antiqua" w:hAnsi="Book Antiqua"/>
            <w:b/>
            <w:sz w:val="24"/>
            <w:szCs w:val="24"/>
          </w:rPr>
          <w:t>http://www.secp.gov.pk/company-formation/fee-calculator/schedule-of-feesixth-schedule/</w:t>
        </w:r>
      </w:hyperlink>
    </w:p>
    <w:p w:rsidR="002277F1" w:rsidRPr="00426714" w:rsidRDefault="002277F1" w:rsidP="00E224D1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</w:p>
    <w:p w:rsidR="00E224D1" w:rsidRDefault="002277F1" w:rsidP="00E224D1">
      <w:pPr>
        <w:pStyle w:val="ListParagraph"/>
        <w:spacing w:after="0"/>
      </w:pPr>
      <w:r w:rsidRPr="002277F1">
        <w:rPr>
          <w:rFonts w:ascii="Book Antiqua" w:hAnsi="Book Antiqua"/>
          <w:sz w:val="24"/>
          <w:szCs w:val="24"/>
        </w:rPr>
        <w:t xml:space="preserve">The prescribed </w:t>
      </w:r>
      <w:r w:rsidR="00D13430">
        <w:rPr>
          <w:rFonts w:ascii="Book Antiqua" w:hAnsi="Book Antiqua"/>
          <w:sz w:val="24"/>
          <w:szCs w:val="24"/>
        </w:rPr>
        <w:t>Forms</w:t>
      </w:r>
      <w:r w:rsidRPr="002277F1">
        <w:rPr>
          <w:rFonts w:ascii="Book Antiqua" w:hAnsi="Book Antiqua"/>
          <w:sz w:val="24"/>
          <w:szCs w:val="24"/>
        </w:rPr>
        <w:t xml:space="preserve"> may be accessed at link</w:t>
      </w:r>
      <w:r w:rsidR="00E224D1">
        <w:rPr>
          <w:rFonts w:ascii="Book Antiqua" w:hAnsi="Book Antiqua"/>
          <w:b/>
          <w:sz w:val="24"/>
          <w:szCs w:val="24"/>
          <w:u w:val="single"/>
        </w:rPr>
        <w:t>:</w:t>
      </w:r>
      <w:r w:rsidR="006215DD">
        <w:rPr>
          <w:b/>
        </w:rPr>
        <w:tab/>
      </w:r>
      <w:hyperlink r:id="rId9" w:history="1">
        <w:r w:rsidR="00E224D1" w:rsidRPr="002C44C7">
          <w:rPr>
            <w:rStyle w:val="Hyperlink"/>
          </w:rPr>
          <w:t>http://www.secp.gov.pk/company-formation/formsapplications-schedule-of-filling-of-returns/statutory-forms/</w:t>
        </w:r>
      </w:hyperlink>
    </w:p>
    <w:p w:rsidR="00A2527D" w:rsidRDefault="00A2527D" w:rsidP="00D13430">
      <w:pPr>
        <w:rPr>
          <w:b/>
          <w:u w:val="single"/>
        </w:rPr>
      </w:pPr>
      <w:r w:rsidRPr="00A2527D">
        <w:rPr>
          <w:b/>
        </w:rPr>
        <w:tab/>
      </w:r>
    </w:p>
    <w:p w:rsidR="00A2527D" w:rsidRPr="00CF4C12" w:rsidRDefault="00A2527D" w:rsidP="00A2527D">
      <w:pPr>
        <w:rPr>
          <w:b/>
          <w:u w:val="single"/>
        </w:rPr>
      </w:pPr>
    </w:p>
    <w:sectPr w:rsidR="00A2527D" w:rsidRPr="00CF4C12" w:rsidSect="002B049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898"/>
    <w:multiLevelType w:val="singleLevel"/>
    <w:tmpl w:val="9C0A929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D063F15"/>
    <w:multiLevelType w:val="hybridMultilevel"/>
    <w:tmpl w:val="835288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3561"/>
    <w:multiLevelType w:val="hybridMultilevel"/>
    <w:tmpl w:val="FC447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34878"/>
    <w:multiLevelType w:val="hybridMultilevel"/>
    <w:tmpl w:val="835288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B759C"/>
    <w:multiLevelType w:val="hybridMultilevel"/>
    <w:tmpl w:val="835288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77636"/>
    <w:multiLevelType w:val="hybridMultilevel"/>
    <w:tmpl w:val="DAFEC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132E8"/>
    <w:multiLevelType w:val="hybridMultilevel"/>
    <w:tmpl w:val="835288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E3772"/>
    <w:multiLevelType w:val="hybridMultilevel"/>
    <w:tmpl w:val="835288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D6"/>
    <w:rsid w:val="000166A5"/>
    <w:rsid w:val="00020DFD"/>
    <w:rsid w:val="00045FB9"/>
    <w:rsid w:val="000830D6"/>
    <w:rsid w:val="000841FB"/>
    <w:rsid w:val="00094933"/>
    <w:rsid w:val="000F7563"/>
    <w:rsid w:val="00105777"/>
    <w:rsid w:val="001A1F67"/>
    <w:rsid w:val="001A4226"/>
    <w:rsid w:val="001B0A04"/>
    <w:rsid w:val="001C2E47"/>
    <w:rsid w:val="001E571C"/>
    <w:rsid w:val="002277F1"/>
    <w:rsid w:val="00230F3F"/>
    <w:rsid w:val="002B0496"/>
    <w:rsid w:val="002F6C33"/>
    <w:rsid w:val="003363C0"/>
    <w:rsid w:val="004100F1"/>
    <w:rsid w:val="00426714"/>
    <w:rsid w:val="004460DB"/>
    <w:rsid w:val="004D6B78"/>
    <w:rsid w:val="004F24AF"/>
    <w:rsid w:val="00517A89"/>
    <w:rsid w:val="005A6994"/>
    <w:rsid w:val="005B23D7"/>
    <w:rsid w:val="00602A98"/>
    <w:rsid w:val="006215DD"/>
    <w:rsid w:val="006C2A46"/>
    <w:rsid w:val="006F0079"/>
    <w:rsid w:val="007A5A9A"/>
    <w:rsid w:val="007E5687"/>
    <w:rsid w:val="008032BD"/>
    <w:rsid w:val="00955EF6"/>
    <w:rsid w:val="00A14E72"/>
    <w:rsid w:val="00A2527D"/>
    <w:rsid w:val="00A50CC4"/>
    <w:rsid w:val="00A64274"/>
    <w:rsid w:val="00A94D0D"/>
    <w:rsid w:val="00B01E0A"/>
    <w:rsid w:val="00B049A8"/>
    <w:rsid w:val="00B221AD"/>
    <w:rsid w:val="00B83314"/>
    <w:rsid w:val="00C07315"/>
    <w:rsid w:val="00C51055"/>
    <w:rsid w:val="00C5245E"/>
    <w:rsid w:val="00C52540"/>
    <w:rsid w:val="00C60C49"/>
    <w:rsid w:val="00CF4C12"/>
    <w:rsid w:val="00D13430"/>
    <w:rsid w:val="00D16FA1"/>
    <w:rsid w:val="00D55C56"/>
    <w:rsid w:val="00E16862"/>
    <w:rsid w:val="00E224D1"/>
    <w:rsid w:val="00E70126"/>
    <w:rsid w:val="00EA3A8C"/>
    <w:rsid w:val="00EB0E51"/>
    <w:rsid w:val="00F0366A"/>
    <w:rsid w:val="00F56046"/>
    <w:rsid w:val="00FA03F4"/>
    <w:rsid w:val="00FE7515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27D"/>
    <w:rPr>
      <w:color w:val="0000FF" w:themeColor="hyperlink"/>
      <w:u w:val="single"/>
    </w:rPr>
  </w:style>
  <w:style w:type="paragraph" w:customStyle="1" w:styleId="Default">
    <w:name w:val="Default"/>
    <w:rsid w:val="0010577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27D"/>
    <w:rPr>
      <w:color w:val="0000FF" w:themeColor="hyperlink"/>
      <w:u w:val="single"/>
    </w:rPr>
  </w:style>
  <w:style w:type="paragraph" w:customStyle="1" w:styleId="Default">
    <w:name w:val="Default"/>
    <w:rsid w:val="0010577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p.gov.pk/company-formation/fee-calculator/schedule-of-feesixth-schedul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services.secp.gov.pk/e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cp.gov.pk/media-center/guide-book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cp.gov.pk/company-formation/formsapplications-schedule-of-filling-of-returns/statutory-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Fozia Perveen</dc:creator>
  <cp:lastModifiedBy>Beenish Waqas</cp:lastModifiedBy>
  <cp:revision>4</cp:revision>
  <dcterms:created xsi:type="dcterms:W3CDTF">2016-08-18T07:02:00Z</dcterms:created>
  <dcterms:modified xsi:type="dcterms:W3CDTF">2016-08-18T07:04:00Z</dcterms:modified>
</cp:coreProperties>
</file>