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8022ED" w:rsidRPr="00E350C8" w:rsidRDefault="008022ED">
      <w:pPr>
        <w:spacing w:after="0" w:line="240" w:lineRule="auto"/>
        <w:jc w:val="both"/>
        <w:rPr>
          <w:rFonts w:eastAsia="Calibri" w:cstheme="minorHAnsi"/>
          <w:b/>
          <w:sz w:val="20"/>
          <w:szCs w:val="20"/>
          <w:u w:val="single"/>
        </w:rPr>
      </w:pPr>
    </w:p>
    <w:p w:rsidR="008022ED" w:rsidRPr="00E350C8" w:rsidRDefault="002A2E83">
      <w:pPr>
        <w:spacing w:after="0" w:line="240" w:lineRule="auto"/>
        <w:jc w:val="center"/>
        <w:rPr>
          <w:rFonts w:eastAsia="Calibri" w:cstheme="minorHAnsi"/>
          <w:b/>
          <w:i/>
          <w:sz w:val="20"/>
          <w:szCs w:val="20"/>
          <w:u w:val="single"/>
        </w:rPr>
      </w:pPr>
      <w:r w:rsidRPr="00E350C8">
        <w:rPr>
          <w:rFonts w:eastAsia="Calibri" w:cstheme="minorHAnsi"/>
          <w:b/>
          <w:i/>
          <w:sz w:val="20"/>
          <w:szCs w:val="20"/>
          <w:u w:val="single"/>
        </w:rPr>
        <w:t>Before Ali Azeem Ikram, Executive Director/HOD (Adjudication-I)</w:t>
      </w:r>
    </w:p>
    <w:p w:rsidR="008022ED" w:rsidRPr="00E350C8" w:rsidRDefault="008022ED">
      <w:pPr>
        <w:spacing w:after="0" w:line="240" w:lineRule="auto"/>
        <w:jc w:val="both"/>
        <w:rPr>
          <w:rFonts w:eastAsia="Calibri" w:cstheme="minorHAnsi"/>
          <w:b/>
          <w:sz w:val="20"/>
          <w:szCs w:val="20"/>
          <w:u w:val="single"/>
        </w:rPr>
      </w:pPr>
    </w:p>
    <w:p w:rsidR="008022ED" w:rsidRPr="00E350C8" w:rsidRDefault="002A2E83">
      <w:pPr>
        <w:spacing w:after="0" w:line="240" w:lineRule="auto"/>
        <w:jc w:val="center"/>
        <w:rPr>
          <w:rFonts w:eastAsia="Calibri" w:cstheme="minorHAnsi"/>
          <w:b/>
          <w:sz w:val="20"/>
          <w:szCs w:val="20"/>
          <w:u w:val="single"/>
        </w:rPr>
      </w:pPr>
      <w:r w:rsidRPr="00E350C8">
        <w:rPr>
          <w:rFonts w:eastAsia="Calibri" w:cstheme="minorHAnsi"/>
          <w:b/>
          <w:sz w:val="20"/>
          <w:szCs w:val="20"/>
          <w:u w:val="single"/>
        </w:rPr>
        <w:t>In the matter of Show Cause Notice issu</w:t>
      </w:r>
      <w:r w:rsidR="00941CBE" w:rsidRPr="00E350C8">
        <w:rPr>
          <w:rFonts w:eastAsia="Calibri" w:cstheme="minorHAnsi"/>
          <w:b/>
          <w:sz w:val="20"/>
          <w:szCs w:val="20"/>
          <w:u w:val="single"/>
        </w:rPr>
        <w:t xml:space="preserve">ed to Asad Mustafa Securities Private </w:t>
      </w:r>
      <w:r w:rsidRPr="00E350C8">
        <w:rPr>
          <w:rFonts w:eastAsia="Calibri" w:cstheme="minorHAnsi"/>
          <w:b/>
          <w:sz w:val="20"/>
          <w:szCs w:val="20"/>
          <w:u w:val="single"/>
        </w:rPr>
        <w:t>Limited</w:t>
      </w:r>
    </w:p>
    <w:p w:rsidR="008022ED" w:rsidRPr="00E350C8" w:rsidRDefault="008022ED">
      <w:pPr>
        <w:spacing w:after="0" w:line="240" w:lineRule="auto"/>
        <w:jc w:val="both"/>
        <w:rPr>
          <w:rFonts w:eastAsia="Calibri" w:cstheme="minorHAnsi"/>
          <w:b/>
          <w:sz w:val="20"/>
          <w:szCs w:val="20"/>
          <w:u w:val="single"/>
        </w:rPr>
      </w:pPr>
    </w:p>
    <w:tbl>
      <w:tblPr>
        <w:tblW w:w="0" w:type="auto"/>
        <w:tblInd w:w="98" w:type="dxa"/>
        <w:tblCellMar>
          <w:left w:w="10" w:type="dxa"/>
          <w:right w:w="10" w:type="dxa"/>
        </w:tblCellMar>
        <w:tblLook w:val="0000" w:firstRow="0" w:lastRow="0" w:firstColumn="0" w:lastColumn="0" w:noHBand="0" w:noVBand="0"/>
      </w:tblPr>
      <w:tblGrid>
        <w:gridCol w:w="4590"/>
        <w:gridCol w:w="4500"/>
      </w:tblGrid>
      <w:tr w:rsidR="008022ED" w:rsidRPr="00E350C8" w:rsidTr="00C80A98">
        <w:tc>
          <w:tcPr>
            <w:tcW w:w="459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8022ED" w:rsidRPr="00E350C8" w:rsidRDefault="002A2E83">
            <w:pPr>
              <w:tabs>
                <w:tab w:val="left" w:pos="9450"/>
              </w:tabs>
              <w:spacing w:after="0" w:line="240" w:lineRule="auto"/>
              <w:ind w:right="75"/>
              <w:jc w:val="both"/>
              <w:rPr>
                <w:rFonts w:eastAsia="Calibri" w:cstheme="minorHAnsi"/>
                <w:sz w:val="20"/>
                <w:szCs w:val="20"/>
              </w:rPr>
            </w:pPr>
            <w:r w:rsidRPr="00E350C8">
              <w:rPr>
                <w:rFonts w:eastAsia="Calibri" w:cstheme="minorHAnsi"/>
                <w:sz w:val="20"/>
                <w:szCs w:val="20"/>
              </w:rPr>
              <w:t>Date of Hearing</w:t>
            </w:r>
          </w:p>
        </w:tc>
        <w:tc>
          <w:tcPr>
            <w:tcW w:w="450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8022ED" w:rsidRPr="00E350C8" w:rsidRDefault="00941CBE">
            <w:pPr>
              <w:tabs>
                <w:tab w:val="left" w:pos="9450"/>
              </w:tabs>
              <w:spacing w:after="0" w:line="240" w:lineRule="auto"/>
              <w:ind w:left="-13" w:right="29"/>
              <w:jc w:val="both"/>
              <w:rPr>
                <w:rFonts w:eastAsia="Calibri" w:cstheme="minorHAnsi"/>
                <w:sz w:val="20"/>
                <w:szCs w:val="20"/>
              </w:rPr>
            </w:pPr>
            <w:r w:rsidRPr="00E350C8">
              <w:rPr>
                <w:rFonts w:eastAsia="Calibri" w:cstheme="minorHAnsi"/>
                <w:sz w:val="20"/>
                <w:szCs w:val="20"/>
              </w:rPr>
              <w:t>October 26</w:t>
            </w:r>
            <w:r w:rsidR="002A2E83" w:rsidRPr="00E350C8">
              <w:rPr>
                <w:rFonts w:eastAsia="Calibri" w:cstheme="minorHAnsi"/>
                <w:sz w:val="20"/>
                <w:szCs w:val="20"/>
              </w:rPr>
              <w:t>, 2020</w:t>
            </w:r>
          </w:p>
        </w:tc>
      </w:tr>
    </w:tbl>
    <w:p w:rsidR="008022ED" w:rsidRPr="00E350C8" w:rsidRDefault="008022ED">
      <w:pPr>
        <w:spacing w:after="0" w:line="240" w:lineRule="auto"/>
        <w:jc w:val="both"/>
        <w:rPr>
          <w:rFonts w:eastAsia="Calibri" w:cstheme="minorHAnsi"/>
          <w:b/>
          <w:sz w:val="20"/>
          <w:szCs w:val="20"/>
        </w:rPr>
      </w:pPr>
    </w:p>
    <w:p w:rsidR="008022ED" w:rsidRPr="00E350C8" w:rsidRDefault="002A2E83">
      <w:pPr>
        <w:spacing w:after="0" w:line="240" w:lineRule="auto"/>
        <w:jc w:val="center"/>
        <w:rPr>
          <w:rFonts w:eastAsia="Calibri" w:cstheme="minorHAnsi"/>
          <w:b/>
          <w:sz w:val="20"/>
          <w:szCs w:val="20"/>
          <w:u w:val="single"/>
        </w:rPr>
      </w:pPr>
      <w:r w:rsidRPr="00E350C8">
        <w:rPr>
          <w:rFonts w:eastAsia="Calibri" w:cstheme="minorHAnsi"/>
          <w:b/>
          <w:sz w:val="20"/>
          <w:szCs w:val="20"/>
          <w:u w:val="single"/>
        </w:rPr>
        <w:t>Order-Redacted Version</w:t>
      </w:r>
    </w:p>
    <w:p w:rsidR="008022ED" w:rsidRPr="00E350C8" w:rsidRDefault="008022ED">
      <w:pPr>
        <w:spacing w:after="0" w:line="240" w:lineRule="auto"/>
        <w:jc w:val="both"/>
        <w:rPr>
          <w:rFonts w:eastAsia="Calibri" w:cstheme="minorHAnsi"/>
          <w:sz w:val="20"/>
          <w:szCs w:val="20"/>
          <w:u w:val="single"/>
        </w:rPr>
      </w:pPr>
    </w:p>
    <w:p w:rsidR="008022ED" w:rsidRPr="00B46A6E" w:rsidRDefault="00941CBE">
      <w:pPr>
        <w:spacing w:after="0" w:line="240" w:lineRule="auto"/>
        <w:ind w:firstLine="720"/>
        <w:jc w:val="both"/>
        <w:rPr>
          <w:rFonts w:eastAsia="Calibri" w:cstheme="minorHAnsi"/>
          <w:sz w:val="20"/>
          <w:szCs w:val="20"/>
        </w:rPr>
      </w:pPr>
      <w:r w:rsidRPr="00B46A6E">
        <w:rPr>
          <w:rFonts w:eastAsia="Calibri" w:cstheme="minorHAnsi"/>
          <w:sz w:val="20"/>
          <w:szCs w:val="20"/>
        </w:rPr>
        <w:t>Order dated November 18</w:t>
      </w:r>
      <w:r w:rsidR="002A2E83" w:rsidRPr="00B46A6E">
        <w:rPr>
          <w:rFonts w:eastAsia="Calibri" w:cstheme="minorHAnsi"/>
          <w:sz w:val="20"/>
          <w:szCs w:val="20"/>
        </w:rPr>
        <w:t>, 2020 was passed by Executive Director/Head of Department (Adjudication-I) in the mat</w:t>
      </w:r>
      <w:r w:rsidR="005C200C" w:rsidRPr="00B46A6E">
        <w:rPr>
          <w:rFonts w:eastAsia="Calibri" w:cstheme="minorHAnsi"/>
          <w:sz w:val="20"/>
          <w:szCs w:val="20"/>
        </w:rPr>
        <w:t>ter of Asad Mustafa Securities Private</w:t>
      </w:r>
      <w:r w:rsidR="002A2E83" w:rsidRPr="00B46A6E">
        <w:rPr>
          <w:rFonts w:eastAsia="Calibri" w:cstheme="minorHAnsi"/>
          <w:sz w:val="20"/>
          <w:szCs w:val="20"/>
        </w:rPr>
        <w:t xml:space="preserve"> Limited. Relevant details are given as hereunder:</w:t>
      </w:r>
    </w:p>
    <w:p w:rsidR="008022ED" w:rsidRPr="00B46A6E" w:rsidRDefault="008022ED">
      <w:pPr>
        <w:spacing w:after="0" w:line="240" w:lineRule="auto"/>
        <w:ind w:firstLine="720"/>
        <w:jc w:val="both"/>
        <w:rPr>
          <w:rFonts w:eastAsia="Calibri" w:cstheme="minorHAnsi"/>
          <w:sz w:val="20"/>
          <w:szCs w:val="20"/>
        </w:rPr>
      </w:pPr>
    </w:p>
    <w:tbl>
      <w:tblPr>
        <w:tblW w:w="0" w:type="auto"/>
        <w:tblInd w:w="98" w:type="dxa"/>
        <w:tblCellMar>
          <w:left w:w="10" w:type="dxa"/>
          <w:right w:w="10" w:type="dxa"/>
        </w:tblCellMar>
        <w:tblLook w:val="0000" w:firstRow="0" w:lastRow="0" w:firstColumn="0" w:lastColumn="0" w:noHBand="0" w:noVBand="0"/>
      </w:tblPr>
      <w:tblGrid>
        <w:gridCol w:w="2501"/>
        <w:gridCol w:w="6751"/>
      </w:tblGrid>
      <w:tr w:rsidR="008022ED" w:rsidRPr="00B46A6E"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spacing w:after="0" w:line="240" w:lineRule="auto"/>
              <w:jc w:val="center"/>
              <w:rPr>
                <w:rFonts w:eastAsia="Calibri" w:cstheme="minorHAnsi"/>
                <w:sz w:val="20"/>
                <w:szCs w:val="20"/>
              </w:rPr>
            </w:pPr>
            <w:r w:rsidRPr="00B46A6E">
              <w:rPr>
                <w:rFonts w:eastAsia="Calibri" w:cstheme="minorHAnsi"/>
                <w:b/>
                <w:sz w:val="20"/>
                <w:szCs w:val="20"/>
              </w:rPr>
              <w:t>Nature</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spacing w:after="0" w:line="240" w:lineRule="auto"/>
              <w:jc w:val="center"/>
              <w:rPr>
                <w:rFonts w:eastAsia="Calibri" w:cstheme="minorHAnsi"/>
                <w:sz w:val="20"/>
                <w:szCs w:val="20"/>
              </w:rPr>
            </w:pPr>
            <w:r w:rsidRPr="00B46A6E">
              <w:rPr>
                <w:rFonts w:eastAsia="Calibri" w:cstheme="minorHAnsi"/>
                <w:b/>
                <w:sz w:val="20"/>
                <w:szCs w:val="20"/>
              </w:rPr>
              <w:t>Details</w:t>
            </w:r>
          </w:p>
        </w:tc>
      </w:tr>
      <w:tr w:rsidR="008022ED" w:rsidRPr="00B46A6E"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numPr>
                <w:ilvl w:val="0"/>
                <w:numId w:val="1"/>
              </w:numPr>
              <w:spacing w:after="0" w:line="240" w:lineRule="auto"/>
              <w:ind w:left="334" w:hanging="334"/>
              <w:rPr>
                <w:rFonts w:eastAsia="Calibri" w:cstheme="minorHAnsi"/>
                <w:sz w:val="20"/>
                <w:szCs w:val="20"/>
              </w:rPr>
            </w:pPr>
            <w:r w:rsidRPr="00B46A6E">
              <w:rPr>
                <w:rFonts w:eastAsia="Calibri" w:cstheme="minorHAnsi"/>
                <w:sz w:val="20"/>
                <w:szCs w:val="20"/>
              </w:rPr>
              <w:t>Date of Action</w:t>
            </w:r>
          </w:p>
          <w:p w:rsidR="008022ED" w:rsidRPr="00B46A6E" w:rsidRDefault="008022ED">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spacing w:after="0" w:line="240" w:lineRule="auto"/>
              <w:jc w:val="both"/>
              <w:rPr>
                <w:rFonts w:eastAsia="Calibri" w:cstheme="minorHAnsi"/>
                <w:sz w:val="20"/>
                <w:szCs w:val="20"/>
              </w:rPr>
            </w:pPr>
            <w:r w:rsidRPr="00B46A6E">
              <w:rPr>
                <w:rFonts w:eastAsia="Calibri" w:cstheme="minorHAnsi"/>
                <w:sz w:val="20"/>
                <w:szCs w:val="20"/>
              </w:rPr>
              <w:t xml:space="preserve">Show </w:t>
            </w:r>
            <w:proofErr w:type="gramStart"/>
            <w:r w:rsidRPr="00B46A6E">
              <w:rPr>
                <w:rFonts w:eastAsia="Calibri" w:cstheme="minorHAnsi"/>
                <w:sz w:val="20"/>
                <w:szCs w:val="20"/>
              </w:rPr>
              <w:t>Caus</w:t>
            </w:r>
            <w:r w:rsidR="00941CBE" w:rsidRPr="00B46A6E">
              <w:rPr>
                <w:rFonts w:eastAsia="Calibri" w:cstheme="minorHAnsi"/>
                <w:sz w:val="20"/>
                <w:szCs w:val="20"/>
              </w:rPr>
              <w:t>e</w:t>
            </w:r>
            <w:proofErr w:type="gramEnd"/>
            <w:r w:rsidR="00941CBE" w:rsidRPr="00B46A6E">
              <w:rPr>
                <w:rFonts w:eastAsia="Calibri" w:cstheme="minorHAnsi"/>
                <w:sz w:val="20"/>
                <w:szCs w:val="20"/>
              </w:rPr>
              <w:t xml:space="preserve"> notice dated June 24, 2020</w:t>
            </w:r>
            <w:r w:rsidR="009925E0" w:rsidRPr="00B46A6E">
              <w:rPr>
                <w:rFonts w:eastAsia="Calibri" w:cstheme="minorHAnsi"/>
                <w:sz w:val="20"/>
                <w:szCs w:val="20"/>
              </w:rPr>
              <w:t>.</w:t>
            </w:r>
          </w:p>
        </w:tc>
      </w:tr>
      <w:tr w:rsidR="008022ED" w:rsidRPr="00B46A6E"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numPr>
                <w:ilvl w:val="0"/>
                <w:numId w:val="2"/>
              </w:numPr>
              <w:spacing w:after="0" w:line="240" w:lineRule="auto"/>
              <w:ind w:left="334" w:hanging="334"/>
              <w:rPr>
                <w:rFonts w:eastAsia="Calibri" w:cstheme="minorHAnsi"/>
                <w:sz w:val="20"/>
                <w:szCs w:val="20"/>
              </w:rPr>
            </w:pPr>
            <w:r w:rsidRPr="00B46A6E">
              <w:rPr>
                <w:rFonts w:eastAsia="Calibri" w:cstheme="minorHAnsi"/>
                <w:sz w:val="20"/>
                <w:szCs w:val="20"/>
              </w:rPr>
              <w:t>Name of Company</w:t>
            </w:r>
          </w:p>
          <w:p w:rsidR="008022ED" w:rsidRPr="00B46A6E" w:rsidRDefault="008022ED">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941CBE">
            <w:pPr>
              <w:spacing w:after="0" w:line="240" w:lineRule="auto"/>
              <w:jc w:val="both"/>
              <w:rPr>
                <w:rFonts w:eastAsia="Calibri" w:cstheme="minorHAnsi"/>
                <w:sz w:val="20"/>
                <w:szCs w:val="20"/>
              </w:rPr>
            </w:pPr>
            <w:r w:rsidRPr="00B46A6E">
              <w:rPr>
                <w:rFonts w:eastAsia="Calibri" w:cstheme="minorHAnsi"/>
                <w:sz w:val="20"/>
                <w:szCs w:val="20"/>
              </w:rPr>
              <w:t>Asad Mustafa Securities Private</w:t>
            </w:r>
            <w:r w:rsidR="002A2E83" w:rsidRPr="00B46A6E">
              <w:rPr>
                <w:rFonts w:eastAsia="Calibri" w:cstheme="minorHAnsi"/>
                <w:sz w:val="20"/>
                <w:szCs w:val="20"/>
              </w:rPr>
              <w:t xml:space="preserve"> Limited.</w:t>
            </w:r>
          </w:p>
        </w:tc>
      </w:tr>
      <w:tr w:rsidR="008022ED" w:rsidRPr="00B46A6E" w:rsidTr="00D548A5">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D548A5">
            <w:pPr>
              <w:numPr>
                <w:ilvl w:val="0"/>
                <w:numId w:val="3"/>
              </w:numPr>
              <w:spacing w:after="0" w:line="240" w:lineRule="auto"/>
              <w:ind w:left="334" w:hanging="360"/>
              <w:rPr>
                <w:rFonts w:eastAsia="Calibri" w:cstheme="minorHAnsi"/>
                <w:sz w:val="20"/>
                <w:szCs w:val="20"/>
              </w:rPr>
            </w:pPr>
            <w:r w:rsidRPr="00B46A6E">
              <w:rPr>
                <w:rFonts w:eastAsia="Calibri" w:cstheme="minorHAnsi"/>
                <w:sz w:val="20"/>
                <w:szCs w:val="20"/>
              </w:rPr>
              <w:t>Name of Individual</w:t>
            </w:r>
          </w:p>
          <w:p w:rsidR="008022ED" w:rsidRPr="00B46A6E" w:rsidRDefault="008022ED">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spacing w:after="0" w:line="240" w:lineRule="auto"/>
              <w:jc w:val="both"/>
              <w:rPr>
                <w:rFonts w:eastAsia="Calibri" w:cstheme="minorHAnsi"/>
                <w:sz w:val="20"/>
                <w:szCs w:val="20"/>
              </w:rPr>
            </w:pPr>
            <w:r w:rsidRPr="00B46A6E">
              <w:rPr>
                <w:rFonts w:eastAsia="Calibri" w:cstheme="minorHAnsi"/>
                <w:sz w:val="20"/>
                <w:szCs w:val="20"/>
              </w:rPr>
              <w:t>The proceedings were initiated against the Company i.</w:t>
            </w:r>
            <w:r w:rsidR="00941CBE" w:rsidRPr="00B46A6E">
              <w:rPr>
                <w:rFonts w:eastAsia="Calibri" w:cstheme="minorHAnsi"/>
                <w:sz w:val="20"/>
                <w:szCs w:val="20"/>
              </w:rPr>
              <w:t>e. Asad Mustafa Securities Private Limited.</w:t>
            </w:r>
          </w:p>
        </w:tc>
      </w:tr>
      <w:tr w:rsidR="008022ED" w:rsidRPr="00B46A6E"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numPr>
                <w:ilvl w:val="0"/>
                <w:numId w:val="4"/>
              </w:numPr>
              <w:spacing w:after="0" w:line="240" w:lineRule="auto"/>
              <w:ind w:left="334" w:hanging="334"/>
              <w:rPr>
                <w:rFonts w:eastAsia="Calibri" w:cstheme="minorHAnsi"/>
                <w:sz w:val="20"/>
                <w:szCs w:val="20"/>
              </w:rPr>
            </w:pPr>
            <w:r w:rsidRPr="00B46A6E">
              <w:rPr>
                <w:rFonts w:eastAsia="Calibri" w:cstheme="minorHAnsi"/>
                <w:sz w:val="20"/>
                <w:szCs w:val="20"/>
              </w:rPr>
              <w:t>Nature of Offence</w:t>
            </w:r>
          </w:p>
          <w:p w:rsidR="008022ED" w:rsidRPr="00B46A6E" w:rsidRDefault="008022ED">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rsidP="00941CBE">
            <w:pPr>
              <w:spacing w:after="0" w:line="240" w:lineRule="auto"/>
              <w:rPr>
                <w:rFonts w:eastAsia="Calibri" w:cstheme="minorHAnsi"/>
                <w:sz w:val="20"/>
                <w:szCs w:val="20"/>
              </w:rPr>
            </w:pPr>
            <w:r w:rsidRPr="00B46A6E">
              <w:rPr>
                <w:rFonts w:eastAsia="Calibri" w:cstheme="minorHAnsi"/>
                <w:sz w:val="20"/>
                <w:szCs w:val="20"/>
              </w:rPr>
              <w:t xml:space="preserve">Proceedings under </w:t>
            </w:r>
            <w:r w:rsidR="00941CBE" w:rsidRPr="00B46A6E">
              <w:rPr>
                <w:rFonts w:eastAsia="Calibri" w:cstheme="minorHAnsi"/>
                <w:sz w:val="20"/>
                <w:szCs w:val="20"/>
              </w:rPr>
              <w:t>Section 40A of the Securities and Exchange Commission of Pakistan Act, 1997.</w:t>
            </w:r>
          </w:p>
        </w:tc>
      </w:tr>
      <w:tr w:rsidR="008022ED" w:rsidRPr="00B46A6E"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numPr>
                <w:ilvl w:val="0"/>
                <w:numId w:val="5"/>
              </w:numPr>
              <w:spacing w:after="0" w:line="240" w:lineRule="auto"/>
              <w:ind w:left="334" w:hanging="360"/>
              <w:rPr>
                <w:rFonts w:eastAsia="Calibri" w:cstheme="minorHAnsi"/>
                <w:sz w:val="20"/>
                <w:szCs w:val="20"/>
              </w:rPr>
            </w:pPr>
            <w:r w:rsidRPr="00B46A6E">
              <w:rPr>
                <w:rFonts w:eastAsia="Calibri" w:cstheme="minorHAnsi"/>
                <w:sz w:val="20"/>
                <w:szCs w:val="20"/>
              </w:rPr>
              <w:t>Action Taken</w:t>
            </w:r>
          </w:p>
          <w:p w:rsidR="008022ED" w:rsidRPr="00B46A6E" w:rsidRDefault="008022ED">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8022ED">
            <w:pPr>
              <w:spacing w:after="0" w:line="240" w:lineRule="auto"/>
              <w:jc w:val="both"/>
              <w:rPr>
                <w:rFonts w:eastAsia="Calibri" w:cstheme="minorHAnsi"/>
                <w:sz w:val="20"/>
                <w:szCs w:val="20"/>
              </w:rPr>
            </w:pPr>
          </w:p>
          <w:p w:rsidR="008022ED" w:rsidRPr="00B46A6E" w:rsidRDefault="002A2E83">
            <w:pPr>
              <w:spacing w:after="0" w:line="240" w:lineRule="auto"/>
              <w:jc w:val="both"/>
              <w:rPr>
                <w:rFonts w:eastAsia="Calibri" w:cstheme="minorHAnsi"/>
                <w:sz w:val="20"/>
                <w:szCs w:val="20"/>
              </w:rPr>
            </w:pPr>
            <w:r w:rsidRPr="00B46A6E">
              <w:rPr>
                <w:rFonts w:eastAsia="Calibri" w:cstheme="minorHAnsi"/>
                <w:sz w:val="20"/>
                <w:szCs w:val="20"/>
              </w:rPr>
              <w:t>Key findings of default of Regulations were reported in the following manner:</w:t>
            </w:r>
          </w:p>
          <w:p w:rsidR="008022ED" w:rsidRPr="00B46A6E" w:rsidRDefault="008022ED">
            <w:pPr>
              <w:spacing w:after="0" w:line="240" w:lineRule="auto"/>
              <w:jc w:val="both"/>
              <w:rPr>
                <w:rFonts w:eastAsia="Calibri" w:cstheme="minorHAnsi"/>
                <w:sz w:val="20"/>
                <w:szCs w:val="20"/>
              </w:rPr>
            </w:pPr>
          </w:p>
          <w:p w:rsidR="008022ED" w:rsidRPr="00B46A6E" w:rsidRDefault="002A2E83">
            <w:pPr>
              <w:spacing w:after="0" w:line="240" w:lineRule="auto"/>
              <w:ind w:right="-23"/>
              <w:jc w:val="both"/>
              <w:rPr>
                <w:rFonts w:eastAsia="Calibri" w:cstheme="minorHAnsi"/>
                <w:sz w:val="20"/>
                <w:szCs w:val="20"/>
              </w:rPr>
            </w:pPr>
            <w:bookmarkStart w:id="0" w:name="_GoBack"/>
            <w:bookmarkEnd w:id="0"/>
            <w:r w:rsidRPr="00B46A6E">
              <w:rPr>
                <w:rFonts w:eastAsia="Calibri" w:cstheme="minorHAnsi"/>
                <w:sz w:val="20"/>
                <w:szCs w:val="20"/>
              </w:rPr>
              <w:t>I have carefully examined the facts of the case in light of the applicable provisions of the law and have given due consideration to the written as well as verbal submissions and arguments of the Respondents. I am of the considered view that the Respondents did not ensure their compliance with the mandatory provisions of the Regulations in the following instances:</w:t>
            </w:r>
          </w:p>
          <w:p w:rsidR="002439A6" w:rsidRPr="00B46A6E" w:rsidRDefault="00180EB6" w:rsidP="002439A6">
            <w:pPr>
              <w:pStyle w:val="ListParagraph"/>
              <w:numPr>
                <w:ilvl w:val="0"/>
                <w:numId w:val="10"/>
              </w:numPr>
              <w:spacing w:after="0" w:line="240" w:lineRule="auto"/>
              <w:ind w:right="-23"/>
              <w:jc w:val="both"/>
              <w:rPr>
                <w:rFonts w:eastAsia="Calibri" w:cstheme="minorHAnsi"/>
                <w:sz w:val="20"/>
                <w:szCs w:val="20"/>
              </w:rPr>
            </w:pPr>
            <w:r w:rsidRPr="00B46A6E">
              <w:rPr>
                <w:rFonts w:eastAsia="Calibri" w:cstheme="minorHAnsi"/>
                <w:sz w:val="20"/>
                <w:szCs w:val="20"/>
              </w:rPr>
              <w:t xml:space="preserve">Information submitted by the Respondent at the time of Inspection through submission of daily filled questionnaire dated November 27, 2019 revealed that Respondent is not maintaining centralized database of customer containing details of beneficial owner for forward and backward monitoring of proscribed/designated persons. Similarly, in the same questionnaire, Respondent could not provide affirmative response in context of mechanism for identification of beneficial owner. It was mandatory to comply with the requirements of the law, thus arguments of the Respondent </w:t>
            </w:r>
            <w:r w:rsidR="002439A6" w:rsidRPr="00B46A6E">
              <w:rPr>
                <w:rFonts w:eastAsia="Calibri" w:cstheme="minorHAnsi"/>
                <w:sz w:val="20"/>
                <w:szCs w:val="20"/>
              </w:rPr>
              <w:t>is not tenable that there was no beneficial ownership of an account other than its account holder, so no mechanism was necessitated. Moreover, the Respondent did not provide any pre-inspection evidence of complying with the requirement of the provision of Regulation 4(a) and 13(7) of the AML Regulation. During the Hearing, the authorized representative admitted the violation of the said Regulations and claimed that default has been rectified subsequent to the Inspection.</w:t>
            </w:r>
          </w:p>
          <w:p w:rsidR="002439A6" w:rsidRPr="00B46A6E" w:rsidRDefault="002439A6" w:rsidP="00E350C8">
            <w:pPr>
              <w:pStyle w:val="ListParagraph"/>
              <w:numPr>
                <w:ilvl w:val="0"/>
                <w:numId w:val="10"/>
              </w:numPr>
              <w:spacing w:after="0" w:line="240" w:lineRule="auto"/>
              <w:ind w:right="-23"/>
              <w:jc w:val="both"/>
              <w:rPr>
                <w:rFonts w:eastAsia="Calibri" w:cstheme="minorHAnsi"/>
                <w:sz w:val="20"/>
                <w:szCs w:val="20"/>
              </w:rPr>
            </w:pPr>
            <w:r w:rsidRPr="00B46A6E">
              <w:rPr>
                <w:rFonts w:eastAsia="Calibri" w:cstheme="minorHAnsi"/>
                <w:sz w:val="20"/>
                <w:szCs w:val="20"/>
              </w:rPr>
              <w:t xml:space="preserve"> </w:t>
            </w:r>
            <w:r w:rsidRPr="00B46A6E">
              <w:rPr>
                <w:rStyle w:val="Bodytext30"/>
                <w:rFonts w:asciiTheme="minorHAnsi" w:eastAsiaTheme="minorEastAsia" w:hAnsiTheme="minorHAnsi" w:cstheme="minorHAnsi"/>
              </w:rPr>
              <w:t xml:space="preserve">During the hearing and in response to Letter of Findings, the Respondent </w:t>
            </w:r>
            <w:r w:rsidR="00E350C8" w:rsidRPr="00B46A6E">
              <w:rPr>
                <w:rStyle w:val="Bodytext30"/>
                <w:rFonts w:asciiTheme="minorHAnsi" w:eastAsiaTheme="minorEastAsia" w:hAnsiTheme="minorHAnsi" w:cstheme="minorHAnsi"/>
              </w:rPr>
              <w:t xml:space="preserve">admitted that it had </w:t>
            </w:r>
            <w:r w:rsidRPr="00B46A6E">
              <w:rPr>
                <w:rStyle w:val="Bodytext30"/>
                <w:rFonts w:asciiTheme="minorHAnsi" w:eastAsiaTheme="minorEastAsia" w:hAnsiTheme="minorHAnsi" w:cstheme="minorHAnsi"/>
              </w:rPr>
              <w:t xml:space="preserve">no access to the NADRA </w:t>
            </w:r>
            <w:r w:rsidR="00E350C8" w:rsidRPr="00B46A6E">
              <w:rPr>
                <w:rStyle w:val="Bodytext30"/>
                <w:rFonts w:asciiTheme="minorHAnsi" w:eastAsiaTheme="minorEastAsia" w:hAnsiTheme="minorHAnsi" w:cstheme="minorHAnsi"/>
              </w:rPr>
              <w:t>system;</w:t>
            </w:r>
            <w:r w:rsidRPr="00B46A6E">
              <w:rPr>
                <w:rStyle w:val="Bodytext30"/>
                <w:rFonts w:asciiTheme="minorHAnsi" w:eastAsiaTheme="minorEastAsia" w:hAnsiTheme="minorHAnsi" w:cstheme="minorHAnsi"/>
              </w:rPr>
              <w:t xml:space="preserve"> therefore, they did not fulfill the requirements of the</w:t>
            </w:r>
            <w:r w:rsidR="00E350C8" w:rsidRPr="00B46A6E">
              <w:rPr>
                <w:rStyle w:val="Bodytext30"/>
                <w:rFonts w:asciiTheme="minorHAnsi" w:eastAsiaTheme="minorEastAsia" w:hAnsiTheme="minorHAnsi" w:cstheme="minorHAnsi"/>
              </w:rPr>
              <w:t xml:space="preserve"> </w:t>
            </w:r>
            <w:r w:rsidRPr="00B46A6E">
              <w:rPr>
                <w:rStyle w:val="Bodytext30"/>
                <w:rFonts w:asciiTheme="minorHAnsi" w:eastAsiaTheme="minorEastAsia" w:hAnsiTheme="minorHAnsi" w:cstheme="minorHAnsi"/>
              </w:rPr>
              <w:t xml:space="preserve">Regulations 6(4) of the AML Regulations by not validating the identity documents </w:t>
            </w:r>
            <w:r w:rsidR="00E350C8" w:rsidRPr="00B46A6E">
              <w:rPr>
                <w:rStyle w:val="Bodytext30"/>
                <w:rFonts w:asciiTheme="minorHAnsi" w:eastAsiaTheme="minorEastAsia" w:hAnsiTheme="minorHAnsi" w:cstheme="minorHAnsi"/>
              </w:rPr>
              <w:t xml:space="preserve">of </w:t>
            </w:r>
            <w:r w:rsidRPr="00B46A6E">
              <w:rPr>
                <w:rStyle w:val="Bodytext30"/>
                <w:rFonts w:asciiTheme="minorHAnsi" w:eastAsiaTheme="minorEastAsia" w:hAnsiTheme="minorHAnsi" w:cstheme="minorHAnsi"/>
              </w:rPr>
              <w:t>highlighted instances through NADRA Verysis. Respondent also contended that they have</w:t>
            </w:r>
            <w:r w:rsidR="00E350C8" w:rsidRPr="00B46A6E">
              <w:rPr>
                <w:rStyle w:val="Bodytext30"/>
                <w:rFonts w:asciiTheme="minorHAnsi" w:eastAsiaTheme="minorEastAsia" w:hAnsiTheme="minorHAnsi" w:cstheme="minorHAnsi"/>
              </w:rPr>
              <w:t xml:space="preserve"> </w:t>
            </w:r>
            <w:r w:rsidRPr="00B46A6E">
              <w:rPr>
                <w:rStyle w:val="Bodytext30"/>
                <w:rFonts w:asciiTheme="minorHAnsi" w:eastAsiaTheme="minorEastAsia" w:hAnsiTheme="minorHAnsi" w:cstheme="minorHAnsi"/>
              </w:rPr>
              <w:t xml:space="preserve">strictly enforced policy to conduct biometric verification of all of its customers. </w:t>
            </w:r>
            <w:r w:rsidR="00E350C8" w:rsidRPr="00B46A6E">
              <w:rPr>
                <w:rStyle w:val="Bodytext30"/>
                <w:rFonts w:asciiTheme="minorHAnsi" w:eastAsiaTheme="minorEastAsia" w:hAnsiTheme="minorHAnsi" w:cstheme="minorHAnsi"/>
              </w:rPr>
              <w:t xml:space="preserve">The argument </w:t>
            </w:r>
            <w:r w:rsidRPr="00B46A6E">
              <w:rPr>
                <w:rStyle w:val="Bodytext30"/>
                <w:rFonts w:asciiTheme="minorHAnsi" w:eastAsiaTheme="minorEastAsia" w:hAnsiTheme="minorHAnsi" w:cstheme="minorHAnsi"/>
              </w:rPr>
              <w:t xml:space="preserve">of the Respondent is </w:t>
            </w:r>
            <w:r w:rsidRPr="00B46A6E">
              <w:rPr>
                <w:rStyle w:val="Bodytext30"/>
                <w:rFonts w:asciiTheme="minorHAnsi" w:eastAsiaTheme="minorEastAsia" w:hAnsiTheme="minorHAnsi" w:cstheme="minorHAnsi"/>
              </w:rPr>
              <w:lastRenderedPageBreak/>
              <w:t xml:space="preserve">not justifiable as conducting biometric verification cannot substitute </w:t>
            </w:r>
            <w:r w:rsidR="00E350C8" w:rsidRPr="00B46A6E">
              <w:rPr>
                <w:rStyle w:val="Bodytext30"/>
                <w:rFonts w:asciiTheme="minorHAnsi" w:eastAsiaTheme="minorEastAsia" w:hAnsiTheme="minorHAnsi" w:cstheme="minorHAnsi"/>
              </w:rPr>
              <w:t xml:space="preserve">the </w:t>
            </w:r>
            <w:r w:rsidRPr="00B46A6E">
              <w:rPr>
                <w:rStyle w:val="Bodytext30"/>
                <w:rFonts w:asciiTheme="minorHAnsi" w:eastAsiaTheme="minorEastAsia" w:hAnsiTheme="minorHAnsi" w:cstheme="minorHAnsi"/>
              </w:rPr>
              <w:t xml:space="preserve">statutory requirement of validation of identity documents of main account holders. Joint </w:t>
            </w:r>
            <w:r w:rsidR="00E350C8" w:rsidRPr="00B46A6E">
              <w:rPr>
                <w:rStyle w:val="Bodytext30"/>
                <w:rFonts w:asciiTheme="minorHAnsi" w:eastAsiaTheme="minorEastAsia" w:hAnsiTheme="minorHAnsi" w:cstheme="minorHAnsi"/>
              </w:rPr>
              <w:t xml:space="preserve">account </w:t>
            </w:r>
            <w:r w:rsidRPr="00B46A6E">
              <w:rPr>
                <w:rStyle w:val="Bodytext30"/>
                <w:rFonts w:asciiTheme="minorHAnsi" w:eastAsiaTheme="minorEastAsia" w:hAnsiTheme="minorHAnsi" w:cstheme="minorHAnsi"/>
              </w:rPr>
              <w:t xml:space="preserve">holder and Nominees. Further, the Respondent did not produce any pre-inspection </w:t>
            </w:r>
            <w:r w:rsidR="00E350C8" w:rsidRPr="00B46A6E">
              <w:rPr>
                <w:rStyle w:val="Bodytext30"/>
                <w:rFonts w:asciiTheme="minorHAnsi" w:eastAsiaTheme="minorEastAsia" w:hAnsiTheme="minorHAnsi" w:cstheme="minorHAnsi"/>
              </w:rPr>
              <w:t xml:space="preserve">evidence </w:t>
            </w:r>
            <w:r w:rsidRPr="00B46A6E">
              <w:rPr>
                <w:rStyle w:val="Bodytext30"/>
                <w:rFonts w:asciiTheme="minorHAnsi" w:eastAsiaTheme="minorEastAsia" w:hAnsiTheme="minorHAnsi" w:cstheme="minorHAnsi"/>
              </w:rPr>
              <w:t>exhibiting its efforts to obtain the said facility from NADRA.</w:t>
            </w:r>
          </w:p>
          <w:p w:rsidR="008022ED" w:rsidRPr="00B46A6E" w:rsidRDefault="002439A6" w:rsidP="00E350C8">
            <w:pPr>
              <w:widowControl w:val="0"/>
              <w:numPr>
                <w:ilvl w:val="0"/>
                <w:numId w:val="10"/>
              </w:numPr>
              <w:tabs>
                <w:tab w:val="left" w:pos="691"/>
              </w:tabs>
              <w:spacing w:after="280" w:line="298" w:lineRule="exact"/>
              <w:jc w:val="both"/>
              <w:rPr>
                <w:rFonts w:cstheme="minorHAnsi"/>
                <w:sz w:val="20"/>
                <w:szCs w:val="20"/>
              </w:rPr>
            </w:pPr>
            <w:r w:rsidRPr="00B46A6E">
              <w:rPr>
                <w:rStyle w:val="Bodytext30"/>
                <w:rFonts w:asciiTheme="minorHAnsi" w:eastAsiaTheme="minorEastAsia" w:hAnsiTheme="minorHAnsi" w:cstheme="minorHAnsi"/>
              </w:rPr>
              <w:t>The Respondent has provided risk profiling forms of the highlighted c</w:t>
            </w:r>
            <w:r w:rsidR="00E350C8" w:rsidRPr="00B46A6E">
              <w:rPr>
                <w:rStyle w:val="Bodytext30"/>
                <w:rFonts w:asciiTheme="minorHAnsi" w:eastAsiaTheme="minorEastAsia" w:hAnsiTheme="minorHAnsi" w:cstheme="minorHAnsi"/>
              </w:rPr>
              <w:t xml:space="preserve">ustomers which </w:t>
            </w:r>
            <w:r w:rsidRPr="00B46A6E">
              <w:rPr>
                <w:rStyle w:val="Bodytext30"/>
                <w:rFonts w:asciiTheme="minorHAnsi" w:eastAsiaTheme="minorEastAsia" w:hAnsiTheme="minorHAnsi" w:cstheme="minorHAnsi"/>
              </w:rPr>
              <w:t xml:space="preserve">substantiate that assigned low risk rating to its clients was </w:t>
            </w:r>
            <w:r w:rsidR="00E350C8" w:rsidRPr="00B46A6E">
              <w:rPr>
                <w:rStyle w:val="Bodytext30"/>
                <w:rFonts w:asciiTheme="minorHAnsi" w:eastAsiaTheme="minorEastAsia" w:hAnsiTheme="minorHAnsi" w:cstheme="minorHAnsi"/>
              </w:rPr>
              <w:t xml:space="preserve">based on a mechanism, thus, the </w:t>
            </w:r>
            <w:r w:rsidRPr="00B46A6E">
              <w:rPr>
                <w:rStyle w:val="Bodytext30"/>
                <w:rFonts w:asciiTheme="minorHAnsi" w:eastAsiaTheme="minorEastAsia" w:hAnsiTheme="minorHAnsi" w:cstheme="minorHAnsi"/>
              </w:rPr>
              <w:t xml:space="preserve">Respondent has not violated the Regulation 6(8) </w:t>
            </w:r>
            <w:r w:rsidR="00E350C8" w:rsidRPr="00B46A6E">
              <w:rPr>
                <w:rStyle w:val="Bodytext30"/>
                <w:rFonts w:asciiTheme="minorHAnsi" w:eastAsiaTheme="minorEastAsia" w:hAnsiTheme="minorHAnsi" w:cstheme="minorHAnsi"/>
              </w:rPr>
              <w:t>of the AML Regulations w.r.t highlighted instances</w:t>
            </w:r>
            <w:r w:rsidR="00E350C8" w:rsidRPr="00B46A6E">
              <w:rPr>
                <w:rFonts w:cstheme="minorHAnsi"/>
                <w:sz w:val="20"/>
                <w:szCs w:val="20"/>
              </w:rPr>
              <w:t>.</w:t>
            </w:r>
          </w:p>
          <w:p w:rsidR="008022ED" w:rsidRPr="00B46A6E" w:rsidRDefault="002A2E83" w:rsidP="00987904">
            <w:pPr>
              <w:widowControl w:val="0"/>
              <w:numPr>
                <w:ilvl w:val="0"/>
                <w:numId w:val="12"/>
              </w:numPr>
              <w:tabs>
                <w:tab w:val="left" w:pos="691"/>
              </w:tabs>
              <w:spacing w:after="280" w:line="298" w:lineRule="exact"/>
              <w:jc w:val="both"/>
              <w:rPr>
                <w:rFonts w:eastAsia="Times New Roman" w:cstheme="minorHAnsi"/>
                <w:color w:val="000000"/>
                <w:sz w:val="20"/>
                <w:szCs w:val="20"/>
                <w:lang w:bidi="en-US"/>
              </w:rPr>
            </w:pPr>
            <w:r w:rsidRPr="00B46A6E">
              <w:rPr>
                <w:rFonts w:eastAsia="Calibri" w:cstheme="minorHAnsi"/>
                <w:sz w:val="20"/>
                <w:szCs w:val="20"/>
              </w:rPr>
              <w:t>In view of the foregoing facts, I am of the considered view that flagrant and multiple violations of the provision</w:t>
            </w:r>
            <w:r w:rsidR="00E350C8" w:rsidRPr="00B46A6E">
              <w:rPr>
                <w:rFonts w:eastAsia="Calibri" w:cstheme="minorHAnsi"/>
                <w:sz w:val="20"/>
                <w:szCs w:val="20"/>
              </w:rPr>
              <w:t xml:space="preserve">s of Regulations 4(a), 13(7) and 6(4) of the AML </w:t>
            </w:r>
            <w:r w:rsidRPr="00B46A6E">
              <w:rPr>
                <w:rFonts w:eastAsia="Calibri" w:cstheme="minorHAnsi"/>
                <w:sz w:val="20"/>
                <w:szCs w:val="20"/>
              </w:rPr>
              <w:t xml:space="preserve">Regulations have been established. Therefore, in terms of powers conferred under section 40A of the Act, a penalty of </w:t>
            </w:r>
            <w:r w:rsidRPr="00B46A6E">
              <w:rPr>
                <w:rFonts w:eastAsia="Calibri" w:cstheme="minorHAnsi"/>
                <w:b/>
                <w:sz w:val="20"/>
                <w:szCs w:val="20"/>
              </w:rPr>
              <w:t xml:space="preserve">Rs. </w:t>
            </w:r>
            <w:r w:rsidR="00E350C8" w:rsidRPr="00B46A6E">
              <w:rPr>
                <w:rFonts w:eastAsia="Calibri" w:cstheme="minorHAnsi"/>
                <w:b/>
                <w:sz w:val="20"/>
                <w:szCs w:val="20"/>
                <w:u w:val="single"/>
              </w:rPr>
              <w:t>25</w:t>
            </w:r>
            <w:r w:rsidRPr="00B46A6E">
              <w:rPr>
                <w:rFonts w:eastAsia="Calibri" w:cstheme="minorHAnsi"/>
                <w:b/>
                <w:sz w:val="20"/>
                <w:szCs w:val="20"/>
                <w:u w:val="single"/>
              </w:rPr>
              <w:t>0,000</w:t>
            </w:r>
            <w:r w:rsidRPr="00B46A6E">
              <w:rPr>
                <w:rFonts w:eastAsia="Calibri" w:cstheme="minorHAnsi"/>
                <w:b/>
                <w:sz w:val="20"/>
                <w:szCs w:val="20"/>
              </w:rPr>
              <w:t>/- (</w:t>
            </w:r>
            <w:r w:rsidR="00E350C8" w:rsidRPr="00B46A6E">
              <w:rPr>
                <w:rFonts w:eastAsia="Calibri" w:cstheme="minorHAnsi"/>
                <w:b/>
                <w:sz w:val="20"/>
                <w:szCs w:val="20"/>
                <w:u w:val="single"/>
              </w:rPr>
              <w:t xml:space="preserve">Rupees </w:t>
            </w:r>
            <w:r w:rsidR="00987904" w:rsidRPr="00B46A6E">
              <w:rPr>
                <w:rFonts w:eastAsia="Calibri" w:cstheme="minorHAnsi"/>
                <w:b/>
                <w:sz w:val="20"/>
                <w:szCs w:val="20"/>
                <w:u w:val="single"/>
              </w:rPr>
              <w:t>Two Hundred</w:t>
            </w:r>
            <w:r w:rsidR="00E350C8" w:rsidRPr="00B46A6E">
              <w:rPr>
                <w:rFonts w:eastAsia="Calibri" w:cstheme="minorHAnsi"/>
                <w:b/>
                <w:sz w:val="20"/>
                <w:szCs w:val="20"/>
                <w:u w:val="single"/>
              </w:rPr>
              <w:t xml:space="preserve"> Fifty</w:t>
            </w:r>
            <w:r w:rsidRPr="00B46A6E">
              <w:rPr>
                <w:rFonts w:eastAsia="Calibri" w:cstheme="minorHAnsi"/>
                <w:b/>
                <w:sz w:val="20"/>
                <w:szCs w:val="20"/>
                <w:u w:val="single"/>
              </w:rPr>
              <w:t xml:space="preserve"> Thousand only</w:t>
            </w:r>
            <w:r w:rsidRPr="00B46A6E">
              <w:rPr>
                <w:rFonts w:eastAsia="Calibri" w:cstheme="minorHAnsi"/>
                <w:b/>
                <w:sz w:val="20"/>
                <w:szCs w:val="20"/>
              </w:rPr>
              <w:t xml:space="preserve">) </w:t>
            </w:r>
            <w:r w:rsidRPr="00B46A6E">
              <w:rPr>
                <w:rFonts w:eastAsia="Calibri" w:cstheme="minorHAnsi"/>
                <w:sz w:val="20"/>
                <w:szCs w:val="20"/>
              </w:rPr>
              <w:t>is hereby imposed on the Co</w:t>
            </w:r>
            <w:r w:rsidR="0083702C" w:rsidRPr="00B46A6E">
              <w:rPr>
                <w:rFonts w:eastAsia="Calibri" w:cstheme="minorHAnsi"/>
                <w:sz w:val="20"/>
                <w:szCs w:val="20"/>
              </w:rPr>
              <w:t>mpany</w:t>
            </w:r>
            <w:r w:rsidR="00987904" w:rsidRPr="00B46A6E">
              <w:rPr>
                <w:rFonts w:eastAsia="Calibri" w:cstheme="minorHAnsi"/>
                <w:sz w:val="20"/>
                <w:szCs w:val="20"/>
              </w:rPr>
              <w:t xml:space="preserve">. </w:t>
            </w:r>
            <w:r w:rsidR="00987904" w:rsidRPr="00B46A6E">
              <w:rPr>
                <w:rFonts w:eastAsia="Times New Roman" w:cstheme="minorHAnsi"/>
                <w:color w:val="191A1A"/>
                <w:sz w:val="20"/>
                <w:szCs w:val="20"/>
                <w:lang w:bidi="en-US"/>
              </w:rPr>
              <w:t xml:space="preserve">The Respondent </w:t>
            </w:r>
            <w:r w:rsidR="00987904" w:rsidRPr="00B46A6E">
              <w:rPr>
                <w:rFonts w:eastAsia="Times New Roman" w:cstheme="minorHAnsi"/>
                <w:color w:val="2F3030"/>
                <w:sz w:val="20"/>
                <w:szCs w:val="20"/>
                <w:lang w:bidi="en-US"/>
              </w:rPr>
              <w:t xml:space="preserve">is </w:t>
            </w:r>
            <w:r w:rsidR="00987904" w:rsidRPr="00B46A6E">
              <w:rPr>
                <w:rFonts w:eastAsia="Times New Roman" w:cstheme="minorHAnsi"/>
                <w:color w:val="191A1A"/>
                <w:sz w:val="20"/>
                <w:szCs w:val="20"/>
                <w:lang w:bidi="en-US"/>
              </w:rPr>
              <w:t xml:space="preserve">advised to examine </w:t>
            </w:r>
            <w:r w:rsidR="00987904" w:rsidRPr="00B46A6E">
              <w:rPr>
                <w:rFonts w:eastAsia="Times New Roman" w:cstheme="minorHAnsi"/>
                <w:color w:val="2F3030"/>
                <w:sz w:val="20"/>
                <w:szCs w:val="20"/>
                <w:lang w:bidi="en-US"/>
              </w:rPr>
              <w:t xml:space="preserve">its AML/CFT </w:t>
            </w:r>
            <w:r w:rsidR="00987904" w:rsidRPr="00B46A6E">
              <w:rPr>
                <w:rFonts w:eastAsia="Times New Roman" w:cstheme="minorHAnsi"/>
                <w:color w:val="191A1A"/>
                <w:sz w:val="20"/>
                <w:szCs w:val="20"/>
                <w:lang w:bidi="en-US"/>
              </w:rPr>
              <w:t xml:space="preserve">policy &amp; procedures to ensure that the requirements contained in the AML Regulations are met </w:t>
            </w:r>
            <w:r w:rsidR="00987904" w:rsidRPr="00B46A6E">
              <w:rPr>
                <w:rFonts w:eastAsia="Times New Roman" w:cstheme="minorHAnsi"/>
                <w:color w:val="2F3030"/>
                <w:sz w:val="20"/>
                <w:szCs w:val="20"/>
                <w:lang w:bidi="en-US"/>
              </w:rPr>
              <w:t xml:space="preserve">in letter </w:t>
            </w:r>
            <w:r w:rsidR="00987904" w:rsidRPr="00B46A6E">
              <w:rPr>
                <w:rFonts w:eastAsia="Times New Roman" w:cstheme="minorHAnsi"/>
                <w:color w:val="191A1A"/>
                <w:sz w:val="20"/>
                <w:szCs w:val="20"/>
                <w:lang w:bidi="en-US"/>
              </w:rPr>
              <w:t>and spirit.</w:t>
            </w:r>
          </w:p>
          <w:p w:rsidR="008022ED" w:rsidRPr="00B46A6E" w:rsidRDefault="008022ED">
            <w:pPr>
              <w:spacing w:after="0" w:line="240" w:lineRule="auto"/>
              <w:jc w:val="both"/>
              <w:rPr>
                <w:rFonts w:eastAsia="Calibri" w:cstheme="minorHAnsi"/>
                <w:sz w:val="20"/>
                <w:szCs w:val="20"/>
              </w:rPr>
            </w:pPr>
          </w:p>
          <w:p w:rsidR="008022ED" w:rsidRPr="00B46A6E" w:rsidRDefault="002A2E83">
            <w:pPr>
              <w:spacing w:after="0" w:line="240" w:lineRule="auto"/>
              <w:jc w:val="both"/>
              <w:rPr>
                <w:rFonts w:eastAsia="Calibri" w:cstheme="minorHAnsi"/>
                <w:sz w:val="20"/>
                <w:szCs w:val="20"/>
              </w:rPr>
            </w:pPr>
            <w:r w:rsidRPr="00B46A6E">
              <w:rPr>
                <w:rFonts w:eastAsia="Calibri" w:cstheme="minorHAnsi"/>
                <w:sz w:val="20"/>
                <w:szCs w:val="20"/>
              </w:rPr>
              <w:t xml:space="preserve">Penalty </w:t>
            </w:r>
            <w:r w:rsidR="00915FB2" w:rsidRPr="00B46A6E">
              <w:rPr>
                <w:rFonts w:eastAsia="Calibri" w:cstheme="minorHAnsi"/>
                <w:sz w:val="20"/>
                <w:szCs w:val="20"/>
              </w:rPr>
              <w:t>Order</w:t>
            </w:r>
            <w:r w:rsidR="00987904" w:rsidRPr="00B46A6E">
              <w:rPr>
                <w:rFonts w:eastAsia="Calibri" w:cstheme="minorHAnsi"/>
                <w:sz w:val="20"/>
                <w:szCs w:val="20"/>
              </w:rPr>
              <w:t xml:space="preserve"> dated November 18</w:t>
            </w:r>
            <w:r w:rsidRPr="00B46A6E">
              <w:rPr>
                <w:rFonts w:eastAsia="Calibri" w:cstheme="minorHAnsi"/>
                <w:sz w:val="20"/>
                <w:szCs w:val="20"/>
              </w:rPr>
              <w:t xml:space="preserve">, 2020 was passed by Executive Director (Adjudication-I). </w:t>
            </w:r>
          </w:p>
          <w:p w:rsidR="008022ED" w:rsidRPr="00B46A6E" w:rsidRDefault="008022ED">
            <w:pPr>
              <w:spacing w:after="0" w:line="240" w:lineRule="auto"/>
              <w:jc w:val="both"/>
              <w:rPr>
                <w:rFonts w:eastAsia="Calibri" w:cstheme="minorHAnsi"/>
                <w:sz w:val="20"/>
                <w:szCs w:val="20"/>
              </w:rPr>
            </w:pPr>
          </w:p>
          <w:p w:rsidR="008022ED" w:rsidRPr="00B46A6E" w:rsidRDefault="008022ED">
            <w:pPr>
              <w:spacing w:after="0" w:line="240" w:lineRule="auto"/>
              <w:jc w:val="both"/>
              <w:rPr>
                <w:rFonts w:eastAsia="Calibri" w:cstheme="minorHAnsi"/>
                <w:sz w:val="20"/>
                <w:szCs w:val="20"/>
              </w:rPr>
            </w:pPr>
          </w:p>
          <w:p w:rsidR="008022ED" w:rsidRPr="00B46A6E" w:rsidRDefault="008022ED">
            <w:pPr>
              <w:spacing w:after="0" w:line="240" w:lineRule="auto"/>
              <w:jc w:val="both"/>
              <w:rPr>
                <w:rFonts w:cstheme="minorHAnsi"/>
                <w:sz w:val="20"/>
                <w:szCs w:val="20"/>
              </w:rPr>
            </w:pPr>
          </w:p>
        </w:tc>
      </w:tr>
      <w:tr w:rsidR="008022ED" w:rsidRPr="00B46A6E"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numPr>
                <w:ilvl w:val="0"/>
                <w:numId w:val="8"/>
              </w:numPr>
              <w:spacing w:after="0" w:line="240" w:lineRule="auto"/>
              <w:ind w:left="334" w:hanging="360"/>
              <w:rPr>
                <w:rFonts w:eastAsia="Calibri" w:cstheme="minorHAnsi"/>
                <w:sz w:val="20"/>
                <w:szCs w:val="20"/>
              </w:rPr>
            </w:pPr>
            <w:r w:rsidRPr="00B46A6E">
              <w:rPr>
                <w:rFonts w:eastAsia="Calibri" w:cstheme="minorHAnsi"/>
                <w:sz w:val="20"/>
                <w:szCs w:val="20"/>
              </w:rPr>
              <w:lastRenderedPageBreak/>
              <w:t>Penalty Imposed</w:t>
            </w:r>
          </w:p>
          <w:p w:rsidR="008022ED" w:rsidRPr="00B46A6E" w:rsidRDefault="008022ED">
            <w:pPr>
              <w:spacing w:after="0" w:line="240" w:lineRule="auto"/>
              <w:rPr>
                <w:rFonts w:eastAsia="Calibri" w:cstheme="minorHAnsi"/>
                <w:sz w:val="20"/>
                <w:szCs w:val="20"/>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987904">
            <w:pPr>
              <w:spacing w:after="0" w:line="240" w:lineRule="auto"/>
              <w:jc w:val="both"/>
              <w:rPr>
                <w:rFonts w:eastAsia="Calibri" w:cstheme="minorHAnsi"/>
                <w:sz w:val="20"/>
                <w:szCs w:val="20"/>
              </w:rPr>
            </w:pPr>
            <w:r w:rsidRPr="00B46A6E">
              <w:rPr>
                <w:rFonts w:eastAsia="Calibri" w:cstheme="minorHAnsi"/>
                <w:sz w:val="20"/>
                <w:szCs w:val="20"/>
              </w:rPr>
              <w:t>Penalty of 25</w:t>
            </w:r>
            <w:r w:rsidR="002A2E83" w:rsidRPr="00B46A6E">
              <w:rPr>
                <w:rFonts w:eastAsia="Calibri" w:cstheme="minorHAnsi"/>
                <w:sz w:val="20"/>
                <w:szCs w:val="20"/>
              </w:rPr>
              <w:t>0,000/- (</w:t>
            </w:r>
            <w:r w:rsidRPr="00B46A6E">
              <w:rPr>
                <w:rFonts w:eastAsia="Calibri" w:cstheme="minorHAnsi"/>
                <w:sz w:val="20"/>
                <w:szCs w:val="20"/>
                <w:u w:val="single"/>
              </w:rPr>
              <w:t>Rupees Two</w:t>
            </w:r>
            <w:r w:rsidR="002A2E83" w:rsidRPr="00B46A6E">
              <w:rPr>
                <w:rFonts w:eastAsia="Calibri" w:cstheme="minorHAnsi"/>
                <w:sz w:val="20"/>
                <w:szCs w:val="20"/>
                <w:u w:val="single"/>
              </w:rPr>
              <w:t xml:space="preserve"> Hundred</w:t>
            </w:r>
            <w:r w:rsidRPr="00B46A6E">
              <w:rPr>
                <w:rFonts w:eastAsia="Calibri" w:cstheme="minorHAnsi"/>
                <w:sz w:val="20"/>
                <w:szCs w:val="20"/>
                <w:u w:val="single"/>
              </w:rPr>
              <w:t xml:space="preserve"> Five Thousand</w:t>
            </w:r>
            <w:r w:rsidR="002A2E83" w:rsidRPr="00B46A6E">
              <w:rPr>
                <w:rFonts w:eastAsia="Calibri" w:cstheme="minorHAnsi"/>
                <w:sz w:val="20"/>
                <w:szCs w:val="20"/>
                <w:u w:val="single"/>
              </w:rPr>
              <w:t xml:space="preserve"> only</w:t>
            </w:r>
            <w:r w:rsidR="002A2E83" w:rsidRPr="00B46A6E">
              <w:rPr>
                <w:rFonts w:eastAsia="Calibri" w:cstheme="minorHAnsi"/>
                <w:b/>
                <w:sz w:val="20"/>
                <w:szCs w:val="20"/>
              </w:rPr>
              <w:t xml:space="preserve">) </w:t>
            </w:r>
            <w:r w:rsidR="002A2E83" w:rsidRPr="00B46A6E">
              <w:rPr>
                <w:rFonts w:eastAsia="Calibri" w:cstheme="minorHAnsi"/>
                <w:sz w:val="20"/>
                <w:szCs w:val="20"/>
              </w:rPr>
              <w:t>was imposed.</w:t>
            </w:r>
          </w:p>
          <w:p w:rsidR="008022ED" w:rsidRPr="00B46A6E" w:rsidRDefault="008022ED">
            <w:pPr>
              <w:spacing w:after="0" w:line="240" w:lineRule="auto"/>
              <w:jc w:val="both"/>
              <w:rPr>
                <w:rFonts w:eastAsia="Calibri" w:cstheme="minorHAnsi"/>
                <w:sz w:val="20"/>
                <w:szCs w:val="20"/>
              </w:rPr>
            </w:pPr>
          </w:p>
        </w:tc>
      </w:tr>
      <w:tr w:rsidR="008022ED" w:rsidRPr="00B46A6E"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2A2E83">
            <w:pPr>
              <w:numPr>
                <w:ilvl w:val="0"/>
                <w:numId w:val="9"/>
              </w:numPr>
              <w:spacing w:after="0" w:line="240" w:lineRule="auto"/>
              <w:ind w:left="334" w:hanging="360"/>
              <w:jc w:val="both"/>
              <w:rPr>
                <w:rFonts w:eastAsia="Calibri" w:cstheme="minorHAnsi"/>
                <w:sz w:val="20"/>
                <w:szCs w:val="20"/>
              </w:rPr>
            </w:pPr>
            <w:r w:rsidRPr="00B46A6E">
              <w:rPr>
                <w:rFonts w:eastAsia="Calibri" w:cstheme="minorHAnsi"/>
                <w:sz w:val="20"/>
                <w:szCs w:val="20"/>
              </w:rPr>
              <w:t>Current Status of Order</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B46A6E" w:rsidRDefault="008D278E" w:rsidP="005C200C">
            <w:pPr>
              <w:spacing w:after="0" w:line="240" w:lineRule="auto"/>
              <w:jc w:val="both"/>
              <w:rPr>
                <w:rFonts w:eastAsia="Calibri" w:cstheme="minorHAnsi"/>
                <w:sz w:val="20"/>
                <w:szCs w:val="20"/>
              </w:rPr>
            </w:pPr>
            <w:r w:rsidRPr="00B46A6E">
              <w:rPr>
                <w:rFonts w:eastAsia="Calibri" w:cstheme="minorHAnsi"/>
                <w:sz w:val="20"/>
                <w:szCs w:val="20"/>
              </w:rPr>
              <w:t>Appeal has been filed against the Order.</w:t>
            </w:r>
          </w:p>
        </w:tc>
      </w:tr>
    </w:tbl>
    <w:p w:rsidR="008022ED" w:rsidRPr="00B46A6E" w:rsidRDefault="008022ED">
      <w:pPr>
        <w:spacing w:after="0" w:line="240" w:lineRule="auto"/>
        <w:ind w:firstLine="720"/>
        <w:jc w:val="both"/>
        <w:rPr>
          <w:rFonts w:eastAsia="Calibri" w:cstheme="minorHAnsi"/>
          <w:sz w:val="20"/>
          <w:szCs w:val="20"/>
        </w:rPr>
      </w:pPr>
    </w:p>
    <w:p w:rsidR="008022ED" w:rsidRPr="00B46A6E" w:rsidRDefault="002A2E83">
      <w:pPr>
        <w:spacing w:after="0" w:line="240" w:lineRule="auto"/>
        <w:jc w:val="both"/>
        <w:rPr>
          <w:rFonts w:eastAsia="Calibri" w:cstheme="minorHAnsi"/>
          <w:sz w:val="20"/>
          <w:szCs w:val="20"/>
        </w:rPr>
      </w:pPr>
      <w:r w:rsidRPr="00B46A6E">
        <w:rPr>
          <w:rFonts w:eastAsia="Calibri" w:cstheme="minorHAnsi"/>
          <w:sz w:val="20"/>
          <w:szCs w:val="20"/>
        </w:rPr>
        <w:t xml:space="preserve">Redacted version issued for placement on the website of the Commission. </w:t>
      </w:r>
    </w:p>
    <w:sectPr w:rsidR="008022ED" w:rsidRPr="00B46A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9D1"/>
    <w:multiLevelType w:val="multilevel"/>
    <w:tmpl w:val="C338DF96"/>
    <w:lvl w:ilvl="0">
      <w:start w:val="2"/>
      <w:numFmt w:val="decimal"/>
      <w:lvlText w:val="%1."/>
      <w:lvlJc w:val="left"/>
      <w:rPr>
        <w:rFonts w:ascii="Times New Roman" w:eastAsia="Times New Roman" w:hAnsi="Times New Roman" w:cs="Times New Roman"/>
        <w:b w:val="0"/>
        <w:bCs w:val="0"/>
        <w:i w:val="0"/>
        <w:iCs w:val="0"/>
        <w:smallCaps w:val="0"/>
        <w:strike w:val="0"/>
        <w:color w:val="191A1A"/>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63741"/>
    <w:multiLevelType w:val="hybridMultilevel"/>
    <w:tmpl w:val="01A098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50CCD"/>
    <w:multiLevelType w:val="multilevel"/>
    <w:tmpl w:val="86D65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21992"/>
    <w:multiLevelType w:val="multilevel"/>
    <w:tmpl w:val="38125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B32D13"/>
    <w:multiLevelType w:val="multilevel"/>
    <w:tmpl w:val="DD800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212DAB"/>
    <w:multiLevelType w:val="multilevel"/>
    <w:tmpl w:val="8E9C7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F169D1"/>
    <w:multiLevelType w:val="multilevel"/>
    <w:tmpl w:val="8B1E8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F414AA"/>
    <w:multiLevelType w:val="multilevel"/>
    <w:tmpl w:val="EE4EB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DD1989"/>
    <w:multiLevelType w:val="multilevel"/>
    <w:tmpl w:val="C18E0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621082"/>
    <w:multiLevelType w:val="multilevel"/>
    <w:tmpl w:val="0666E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8637BA"/>
    <w:multiLevelType w:val="multilevel"/>
    <w:tmpl w:val="494A0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8900F6"/>
    <w:multiLevelType w:val="multilevel"/>
    <w:tmpl w:val="23141A9E"/>
    <w:lvl w:ilvl="0">
      <w:start w:val="2"/>
      <w:numFmt w:val="lowerRoman"/>
      <w:lvlText w:val="%1."/>
      <w:lvlJc w:val="left"/>
      <w:rPr>
        <w:rFonts w:ascii="Times New Roman" w:eastAsia="Times New Roman" w:hAnsi="Times New Roman" w:cs="Times New Roman"/>
        <w:b w:val="0"/>
        <w:bCs w:val="0"/>
        <w:i w:val="0"/>
        <w:iCs w:val="0"/>
        <w:smallCaps w:val="0"/>
        <w:strike w:val="0"/>
        <w:color w:val="191A1A"/>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3"/>
  </w:num>
  <w:num w:numId="4">
    <w:abstractNumId w:val="10"/>
  </w:num>
  <w:num w:numId="5">
    <w:abstractNumId w:val="4"/>
  </w:num>
  <w:num w:numId="6">
    <w:abstractNumId w:val="9"/>
  </w:num>
  <w:num w:numId="7">
    <w:abstractNumId w:val="2"/>
  </w:num>
  <w:num w:numId="8">
    <w:abstractNumId w:val="5"/>
  </w:num>
  <w:num w:numId="9">
    <w:abstractNumId w:val="8"/>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ED"/>
    <w:rsid w:val="000A17DD"/>
    <w:rsid w:val="00180EB6"/>
    <w:rsid w:val="002439A6"/>
    <w:rsid w:val="002A2E83"/>
    <w:rsid w:val="002A5725"/>
    <w:rsid w:val="005C200C"/>
    <w:rsid w:val="0070707B"/>
    <w:rsid w:val="008022ED"/>
    <w:rsid w:val="0083702C"/>
    <w:rsid w:val="008D278E"/>
    <w:rsid w:val="00915FB2"/>
    <w:rsid w:val="00941CBE"/>
    <w:rsid w:val="00987904"/>
    <w:rsid w:val="009925E0"/>
    <w:rsid w:val="009F1EA9"/>
    <w:rsid w:val="00B46A6E"/>
    <w:rsid w:val="00C80A98"/>
    <w:rsid w:val="00D548A5"/>
    <w:rsid w:val="00E3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A6C7"/>
  <w15:docId w15:val="{B730F728-F862-49F9-A30B-2BF28EEA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CBE"/>
    <w:pPr>
      <w:ind w:left="720"/>
      <w:contextualSpacing/>
    </w:pPr>
  </w:style>
  <w:style w:type="character" w:customStyle="1" w:styleId="Bodytext3">
    <w:name w:val="Body text|3_"/>
    <w:basedOn w:val="DefaultParagraphFont"/>
    <w:rsid w:val="002439A6"/>
    <w:rPr>
      <w:b w:val="0"/>
      <w:bCs w:val="0"/>
      <w:i w:val="0"/>
      <w:iCs w:val="0"/>
      <w:smallCaps w:val="0"/>
      <w:strike w:val="0"/>
      <w:sz w:val="20"/>
      <w:szCs w:val="20"/>
      <w:u w:val="none"/>
    </w:rPr>
  </w:style>
  <w:style w:type="character" w:customStyle="1" w:styleId="Bodytext30">
    <w:name w:val="Body text|3"/>
    <w:basedOn w:val="Bodytext3"/>
    <w:rsid w:val="002439A6"/>
    <w:rPr>
      <w:rFonts w:ascii="Times New Roman" w:eastAsia="Times New Roman" w:hAnsi="Times New Roman" w:cs="Times New Roman"/>
      <w:b w:val="0"/>
      <w:bCs w:val="0"/>
      <w:i w:val="0"/>
      <w:iCs w:val="0"/>
      <w:smallCaps w:val="0"/>
      <w:strike w:val="0"/>
      <w:color w:val="191A1A"/>
      <w:spacing w:val="0"/>
      <w:w w:val="100"/>
      <w:position w:val="0"/>
      <w:sz w:val="20"/>
      <w:szCs w:val="2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87C6-40D5-4D9D-BA22-505AA82E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Tanzila Nisar Mirza</dc:creator>
  <cp:lastModifiedBy>Tanzila Nisar Mirza</cp:lastModifiedBy>
  <cp:revision>4</cp:revision>
  <dcterms:created xsi:type="dcterms:W3CDTF">2021-03-03T05:58:00Z</dcterms:created>
  <dcterms:modified xsi:type="dcterms:W3CDTF">2021-03-03T05:58:00Z</dcterms:modified>
</cp:coreProperties>
</file>