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774C99">
      <w:pPr>
        <w:pStyle w:val="NormalWeb"/>
        <w:jc w:val="center"/>
        <w:rPr>
          <w:rFonts w:ascii="Book Antiqua" w:hAnsi="Book Antiqua"/>
          <w:b/>
          <w:bCs/>
          <w:sz w:val="22"/>
          <w:szCs w:val="22"/>
        </w:rPr>
      </w:pPr>
    </w:p>
    <w:p w:rsidR="005D1DD2" w:rsidRPr="003E0610" w:rsidRDefault="00834E94" w:rsidP="00774C99">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774C99">
      <w:pPr>
        <w:jc w:val="center"/>
        <w:rPr>
          <w:rFonts w:ascii="Book Antiqua" w:eastAsia="Arial Unicode MS" w:hAnsi="Book Antiqua" w:cs="Times New Roman"/>
          <w:b/>
          <w:bCs/>
          <w:color w:val="000000"/>
          <w:sz w:val="22"/>
          <w:szCs w:val="22"/>
        </w:rPr>
      </w:pPr>
    </w:p>
    <w:p w:rsidR="00D13AFF" w:rsidRPr="00D42FCE" w:rsidRDefault="00D13AFF" w:rsidP="00774C99">
      <w:pPr>
        <w:pStyle w:val="Heading3"/>
        <w:spacing w:line="240" w:lineRule="auto"/>
        <w:rPr>
          <w:rFonts w:ascii="Book Antiqua" w:hAnsi="Book Antiqua"/>
          <w:sz w:val="22"/>
          <w:szCs w:val="22"/>
        </w:rPr>
      </w:pPr>
      <w:r w:rsidRPr="00D42FCE">
        <w:rPr>
          <w:rFonts w:ascii="Book Antiqua" w:hAnsi="Book Antiqua"/>
          <w:sz w:val="22"/>
          <w:szCs w:val="22"/>
        </w:rPr>
        <w:t>Abid Hussain – Executive Director/Head of Department</w:t>
      </w:r>
    </w:p>
    <w:p w:rsidR="00D13AFF" w:rsidRPr="00D42FCE" w:rsidRDefault="00D13AFF" w:rsidP="00774C99">
      <w:pPr>
        <w:rPr>
          <w:rFonts w:ascii="Book Antiqua" w:hAnsi="Book Antiqua" w:cs="Times New Roman"/>
          <w:sz w:val="22"/>
          <w:szCs w:val="22"/>
        </w:rPr>
      </w:pPr>
    </w:p>
    <w:p w:rsidR="00D13AFF" w:rsidRPr="00D42FCE" w:rsidRDefault="00D13AFF" w:rsidP="00774C99">
      <w:pPr>
        <w:jc w:val="center"/>
        <w:rPr>
          <w:rFonts w:ascii="Book Antiqua" w:eastAsia="Arial Unicode MS" w:hAnsi="Book Antiqua" w:cs="Times New Roman"/>
          <w:b/>
          <w:bCs/>
          <w:i/>
          <w:color w:val="000000"/>
          <w:sz w:val="22"/>
          <w:szCs w:val="22"/>
        </w:rPr>
      </w:pPr>
      <w:r w:rsidRPr="00D42FCE">
        <w:rPr>
          <w:rFonts w:ascii="Book Antiqua" w:eastAsia="Arial Unicode MS" w:hAnsi="Book Antiqua" w:cs="Times New Roman"/>
          <w:b/>
          <w:bCs/>
          <w:i/>
          <w:color w:val="000000"/>
          <w:sz w:val="22"/>
          <w:szCs w:val="22"/>
        </w:rPr>
        <w:t>In the matter of</w:t>
      </w:r>
    </w:p>
    <w:p w:rsidR="00D13AFF" w:rsidRPr="00D42FCE" w:rsidRDefault="00D13AFF" w:rsidP="00774C99">
      <w:pPr>
        <w:jc w:val="center"/>
        <w:rPr>
          <w:rFonts w:ascii="Book Antiqua" w:eastAsia="Arial Unicode MS" w:hAnsi="Book Antiqua" w:cs="Times New Roman"/>
          <w:b/>
          <w:bCs/>
          <w:i/>
          <w:color w:val="000000"/>
          <w:sz w:val="22"/>
          <w:szCs w:val="22"/>
        </w:rPr>
      </w:pPr>
    </w:p>
    <w:p w:rsidR="00D13AFF" w:rsidRPr="00D42FCE" w:rsidRDefault="00D13AFF" w:rsidP="00774C99">
      <w:pPr>
        <w:tabs>
          <w:tab w:val="left" w:pos="1080"/>
        </w:tabs>
        <w:jc w:val="center"/>
        <w:rPr>
          <w:rFonts w:ascii="Book Antiqua" w:hAnsi="Book Antiqua" w:cs="Times New Roman"/>
          <w:b/>
          <w:sz w:val="22"/>
          <w:szCs w:val="22"/>
        </w:rPr>
      </w:pPr>
      <w:r w:rsidRPr="00D42FCE">
        <w:rPr>
          <w:rFonts w:ascii="Book Antiqua" w:hAnsi="Book Antiqua" w:cs="Times New Roman"/>
          <w:b/>
          <w:sz w:val="22"/>
          <w:szCs w:val="22"/>
        </w:rPr>
        <w:t xml:space="preserve">Mr. </w:t>
      </w:r>
      <w:proofErr w:type="spellStart"/>
      <w:r w:rsidRPr="00D42FCE">
        <w:rPr>
          <w:rFonts w:ascii="Book Antiqua" w:hAnsi="Book Antiqua" w:cs="Times New Roman"/>
          <w:b/>
          <w:sz w:val="22"/>
          <w:szCs w:val="22"/>
        </w:rPr>
        <w:t>Tanwir</w:t>
      </w:r>
      <w:proofErr w:type="spellEnd"/>
      <w:r w:rsidRPr="00D42FCE">
        <w:rPr>
          <w:rFonts w:ascii="Book Antiqua" w:hAnsi="Book Antiqua" w:cs="Times New Roman"/>
          <w:b/>
          <w:sz w:val="22"/>
          <w:szCs w:val="22"/>
        </w:rPr>
        <w:t xml:space="preserve"> Arif, FCA</w:t>
      </w:r>
    </w:p>
    <w:p w:rsidR="00D13AFF" w:rsidRPr="00D42FCE" w:rsidRDefault="00D13AFF" w:rsidP="00774C99">
      <w:pPr>
        <w:tabs>
          <w:tab w:val="left" w:pos="1080"/>
        </w:tabs>
        <w:jc w:val="center"/>
        <w:rPr>
          <w:rFonts w:ascii="Book Antiqua" w:hAnsi="Book Antiqua" w:cs="Times New Roman"/>
          <w:b/>
          <w:sz w:val="22"/>
          <w:szCs w:val="22"/>
        </w:rPr>
      </w:pPr>
      <w:r w:rsidRPr="00D42FCE">
        <w:rPr>
          <w:rFonts w:ascii="Book Antiqua" w:hAnsi="Book Antiqua" w:cs="Times New Roman"/>
          <w:b/>
          <w:sz w:val="22"/>
          <w:szCs w:val="22"/>
        </w:rPr>
        <w:t xml:space="preserve"> </w:t>
      </w:r>
      <w:proofErr w:type="spellStart"/>
      <w:r w:rsidRPr="00D42FCE">
        <w:rPr>
          <w:rFonts w:ascii="Book Antiqua" w:hAnsi="Book Antiqua" w:cs="Times New Roman"/>
          <w:b/>
          <w:sz w:val="22"/>
          <w:szCs w:val="22"/>
        </w:rPr>
        <w:t>Tanwir</w:t>
      </w:r>
      <w:proofErr w:type="spellEnd"/>
      <w:r w:rsidRPr="00D42FCE">
        <w:rPr>
          <w:rFonts w:ascii="Book Antiqua" w:hAnsi="Book Antiqua" w:cs="Times New Roman"/>
          <w:b/>
          <w:sz w:val="22"/>
          <w:szCs w:val="22"/>
        </w:rPr>
        <w:t xml:space="preserve"> Arif &amp; Co., Chartered Accountants</w:t>
      </w:r>
    </w:p>
    <w:p w:rsidR="00A179C1" w:rsidRPr="00D13AFF" w:rsidRDefault="00D13AFF" w:rsidP="00774C99">
      <w:pPr>
        <w:tabs>
          <w:tab w:val="left" w:pos="1080"/>
        </w:tabs>
        <w:jc w:val="center"/>
        <w:rPr>
          <w:rFonts w:ascii="Book Antiqua" w:hAnsi="Book Antiqua" w:cs="Times New Roman"/>
          <w:b/>
          <w:sz w:val="22"/>
          <w:szCs w:val="22"/>
        </w:rPr>
      </w:pPr>
      <w:r w:rsidRPr="00D42FCE">
        <w:rPr>
          <w:rFonts w:ascii="Book Antiqua" w:hAnsi="Book Antiqua" w:cs="Times New Roman"/>
          <w:b/>
          <w:sz w:val="22"/>
          <w:szCs w:val="22"/>
        </w:rPr>
        <w:t>Auditors of</w:t>
      </w:r>
      <w:r w:rsidRPr="00D42FCE">
        <w:rPr>
          <w:rFonts w:ascii="Book Antiqua" w:hAnsi="Book Antiqua" w:cs="Times New Roman"/>
          <w:b/>
          <w:bCs/>
          <w:sz w:val="22"/>
          <w:szCs w:val="22"/>
          <w:lang w:bidi="he-IL"/>
        </w:rPr>
        <w:t xml:space="preserve"> </w:t>
      </w:r>
      <w:r w:rsidRPr="00D42FCE">
        <w:rPr>
          <w:rFonts w:ascii="Book Antiqua" w:hAnsi="Book Antiqua" w:cs="Times New Roman"/>
          <w:b/>
          <w:sz w:val="22"/>
          <w:szCs w:val="22"/>
        </w:rPr>
        <w:t>Khyber Textile Mills Limited</w:t>
      </w:r>
    </w:p>
    <w:p w:rsidR="007F33F3" w:rsidRPr="00A179C1" w:rsidRDefault="00454F25" w:rsidP="00774C99">
      <w:pPr>
        <w:tabs>
          <w:tab w:val="left" w:pos="1080"/>
        </w:tabs>
        <w:jc w:val="center"/>
        <w:rPr>
          <w:rFonts w:ascii="Book Antiqua" w:hAnsi="Book Antiqua"/>
          <w:b/>
          <w:sz w:val="22"/>
          <w:szCs w:val="22"/>
        </w:rPr>
      </w:pPr>
      <w:r w:rsidRPr="0032580E">
        <w:rPr>
          <w:rFonts w:ascii="Book Antiqua" w:hAnsi="Book Antiqua"/>
          <w:b/>
          <w:sz w:val="22"/>
          <w:szCs w:val="22"/>
        </w:rPr>
        <w:t xml:space="preserve"> </w:t>
      </w: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774C99">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D13AFF" w:rsidP="00774C99">
            <w:pPr>
              <w:pStyle w:val="NormalWeb"/>
              <w:jc w:val="both"/>
              <w:rPr>
                <w:rFonts w:ascii="Book Antiqua" w:hAnsi="Book Antiqua"/>
                <w:sz w:val="22"/>
                <w:szCs w:val="22"/>
              </w:rPr>
            </w:pPr>
            <w:r w:rsidRPr="00D42FCE">
              <w:rPr>
                <w:rFonts w:ascii="Book Antiqua" w:hAnsi="Book Antiqua"/>
                <w:sz w:val="22"/>
                <w:szCs w:val="22"/>
              </w:rPr>
              <w:t>September 23, 2022</w:t>
            </w:r>
          </w:p>
        </w:tc>
      </w:tr>
    </w:tbl>
    <w:p w:rsidR="007F33F3" w:rsidRPr="003E0610" w:rsidRDefault="007F33F3" w:rsidP="00774C99">
      <w:pPr>
        <w:jc w:val="both"/>
        <w:rPr>
          <w:rFonts w:ascii="Book Antiqua" w:hAnsi="Book Antiqua" w:cs="Times New Roman"/>
          <w:b/>
          <w:sz w:val="22"/>
          <w:szCs w:val="22"/>
        </w:rPr>
      </w:pPr>
    </w:p>
    <w:p w:rsidR="007F33F3" w:rsidRPr="003E0610" w:rsidRDefault="007F33F3" w:rsidP="00774C99">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74C99">
      <w:pPr>
        <w:jc w:val="both"/>
        <w:rPr>
          <w:rFonts w:ascii="Book Antiqua" w:hAnsi="Book Antiqua" w:cs="Times New Roman"/>
          <w:sz w:val="22"/>
          <w:szCs w:val="22"/>
          <w:u w:val="single"/>
        </w:rPr>
      </w:pPr>
    </w:p>
    <w:p w:rsidR="007F33F3" w:rsidRPr="003E0610" w:rsidRDefault="00A31B95" w:rsidP="00774C99">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D13AFF">
        <w:rPr>
          <w:rFonts w:ascii="Book Antiqua" w:hAnsi="Book Antiqua" w:cs="Times New Roman"/>
          <w:sz w:val="22"/>
          <w:szCs w:val="22"/>
        </w:rPr>
        <w:t>September 27</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 xml:space="preserve">was passed by </w:t>
      </w:r>
      <w:r w:rsidR="00D13AFF">
        <w:rPr>
          <w:rFonts w:ascii="Book Antiqua" w:hAnsi="Book Antiqua" w:cs="Times New Roman"/>
          <w:sz w:val="22"/>
          <w:szCs w:val="22"/>
        </w:rPr>
        <w:t xml:space="preserve">Executive </w:t>
      </w:r>
      <w:r w:rsidR="007F33F3" w:rsidRPr="003E0610">
        <w:rPr>
          <w:rFonts w:ascii="Book Antiqua" w:hAnsi="Book Antiqua" w:cs="Times New Roman"/>
          <w:sz w:val="22"/>
          <w:szCs w:val="22"/>
        </w:rPr>
        <w:t>Director/Head of Department (Adjudication-I) in the matter of</w:t>
      </w:r>
      <w:r w:rsidR="009043D6" w:rsidRPr="003E0610">
        <w:rPr>
          <w:rFonts w:ascii="Book Antiqua" w:hAnsi="Book Antiqua" w:cs="Times New Roman"/>
          <w:sz w:val="22"/>
          <w:szCs w:val="22"/>
        </w:rPr>
        <w:t xml:space="preserve"> </w:t>
      </w:r>
      <w:r w:rsidR="00D13AFF" w:rsidRPr="00D42FCE">
        <w:rPr>
          <w:rFonts w:ascii="Book Antiqua" w:hAnsi="Book Antiqua"/>
          <w:sz w:val="22"/>
          <w:szCs w:val="22"/>
        </w:rPr>
        <w:t xml:space="preserve">Mr. </w:t>
      </w:r>
      <w:proofErr w:type="spellStart"/>
      <w:r w:rsidR="00D13AFF" w:rsidRPr="00D42FCE">
        <w:rPr>
          <w:rFonts w:ascii="Book Antiqua" w:hAnsi="Book Antiqua"/>
          <w:sz w:val="22"/>
          <w:szCs w:val="22"/>
        </w:rPr>
        <w:t>Tanwir</w:t>
      </w:r>
      <w:proofErr w:type="spellEnd"/>
      <w:r w:rsidR="00D13AFF" w:rsidRPr="00D42FCE">
        <w:rPr>
          <w:rFonts w:ascii="Book Antiqua" w:hAnsi="Book Antiqua"/>
          <w:sz w:val="22"/>
          <w:szCs w:val="22"/>
        </w:rPr>
        <w:t xml:space="preserve"> Arif, FCA, Engagement Partner of </w:t>
      </w:r>
      <w:proofErr w:type="spellStart"/>
      <w:r w:rsidR="00D13AFF" w:rsidRPr="00D42FCE">
        <w:rPr>
          <w:rFonts w:ascii="Book Antiqua" w:hAnsi="Book Antiqua"/>
          <w:sz w:val="22"/>
          <w:szCs w:val="22"/>
        </w:rPr>
        <w:t>Tanwir</w:t>
      </w:r>
      <w:proofErr w:type="spellEnd"/>
      <w:r w:rsidR="00D13AFF" w:rsidRPr="00D42FCE">
        <w:rPr>
          <w:rFonts w:ascii="Book Antiqua" w:hAnsi="Book Antiqua"/>
          <w:sz w:val="22"/>
          <w:szCs w:val="22"/>
        </w:rPr>
        <w:t xml:space="preserve"> Arif &amp; Co. Chartered Accountants (</w:t>
      </w:r>
      <w:r w:rsidR="00D13AFF" w:rsidRPr="00D42FCE">
        <w:rPr>
          <w:rFonts w:ascii="Book Antiqua" w:hAnsi="Book Antiqua"/>
          <w:b/>
          <w:sz w:val="22"/>
          <w:szCs w:val="22"/>
        </w:rPr>
        <w:t>the Auditor</w:t>
      </w:r>
      <w:r w:rsidR="00D13AFF" w:rsidRPr="00D42FCE">
        <w:rPr>
          <w:rFonts w:ascii="Book Antiqua" w:hAnsi="Book Antiqua"/>
          <w:sz w:val="22"/>
          <w:szCs w:val="22"/>
        </w:rPr>
        <w:t>), the auditors of Khyber Textile Mills Limited</w:t>
      </w:r>
      <w:r w:rsidR="007F33F3" w:rsidRPr="003E0610">
        <w:rPr>
          <w:rFonts w:ascii="Book Antiqua" w:hAnsi="Book Antiqua" w:cs="Times New Roman"/>
          <w:sz w:val="22"/>
          <w:szCs w:val="22"/>
        </w:rPr>
        <w:t>. Relevant details are given as hereunder:</w:t>
      </w:r>
    </w:p>
    <w:p w:rsidR="007F33F3" w:rsidRPr="003E0610" w:rsidRDefault="007F33F3" w:rsidP="00774C99">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774C99">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774C99">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74C99">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774C99">
            <w:pPr>
              <w:jc w:val="both"/>
              <w:rPr>
                <w:rFonts w:ascii="Book Antiqua" w:hAnsi="Book Antiqua" w:cs="Times New Roman"/>
                <w:sz w:val="22"/>
                <w:szCs w:val="22"/>
              </w:rPr>
            </w:pPr>
          </w:p>
        </w:tc>
        <w:tc>
          <w:tcPr>
            <w:tcW w:w="6660" w:type="dxa"/>
          </w:tcPr>
          <w:p w:rsidR="007F33F3" w:rsidRPr="003E0610" w:rsidRDefault="007F33F3" w:rsidP="00774C99">
            <w:pPr>
              <w:pStyle w:val="NormalWeb"/>
              <w:ind w:right="70"/>
              <w:jc w:val="both"/>
              <w:rPr>
                <w:rFonts w:ascii="Book Antiqua" w:hAnsi="Book Antiqua"/>
                <w:sz w:val="22"/>
                <w:szCs w:val="22"/>
              </w:rPr>
            </w:pPr>
            <w:r w:rsidRPr="003E0610">
              <w:rPr>
                <w:rFonts w:ascii="Book Antiqua" w:hAnsi="Book Antiqua"/>
                <w:sz w:val="22"/>
                <w:szCs w:val="22"/>
              </w:rPr>
              <w:t xml:space="preserve">Show cause notice dated </w:t>
            </w:r>
            <w:r w:rsidR="00D13AFF" w:rsidRPr="00D42FCE">
              <w:rPr>
                <w:rFonts w:ascii="Book Antiqua" w:hAnsi="Book Antiqua"/>
                <w:sz w:val="22"/>
                <w:szCs w:val="22"/>
              </w:rPr>
              <w:t>August 19, 2022</w:t>
            </w:r>
          </w:p>
        </w:tc>
      </w:tr>
      <w:tr w:rsidR="007F33F3" w:rsidRPr="003E0610" w:rsidTr="00991511">
        <w:tc>
          <w:tcPr>
            <w:tcW w:w="2605" w:type="dxa"/>
          </w:tcPr>
          <w:p w:rsidR="007F33F3" w:rsidRPr="003E0610" w:rsidRDefault="007F33F3" w:rsidP="00774C99">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774C99">
            <w:pPr>
              <w:jc w:val="both"/>
              <w:rPr>
                <w:rFonts w:ascii="Book Antiqua" w:hAnsi="Book Antiqua" w:cs="Times New Roman"/>
                <w:sz w:val="22"/>
                <w:szCs w:val="22"/>
              </w:rPr>
            </w:pPr>
          </w:p>
        </w:tc>
        <w:tc>
          <w:tcPr>
            <w:tcW w:w="6660" w:type="dxa"/>
          </w:tcPr>
          <w:p w:rsidR="007F33F3" w:rsidRPr="003E0610" w:rsidRDefault="00D13AFF" w:rsidP="00774C99">
            <w:pPr>
              <w:jc w:val="both"/>
              <w:rPr>
                <w:rFonts w:ascii="Book Antiqua" w:hAnsi="Book Antiqua" w:cs="Times New Roman"/>
                <w:sz w:val="22"/>
                <w:szCs w:val="22"/>
              </w:rPr>
            </w:pPr>
            <w:r w:rsidRPr="00D42FCE">
              <w:rPr>
                <w:rFonts w:ascii="Book Antiqua" w:hAnsi="Book Antiqua"/>
                <w:sz w:val="22"/>
                <w:szCs w:val="22"/>
              </w:rPr>
              <w:t xml:space="preserve">Mr. </w:t>
            </w:r>
            <w:proofErr w:type="spellStart"/>
            <w:r w:rsidRPr="00D42FCE">
              <w:rPr>
                <w:rFonts w:ascii="Book Antiqua" w:hAnsi="Book Antiqua"/>
                <w:sz w:val="22"/>
                <w:szCs w:val="22"/>
              </w:rPr>
              <w:t>Tanwir</w:t>
            </w:r>
            <w:proofErr w:type="spellEnd"/>
            <w:r w:rsidRPr="00D42FCE">
              <w:rPr>
                <w:rFonts w:ascii="Book Antiqua" w:hAnsi="Book Antiqua"/>
                <w:sz w:val="22"/>
                <w:szCs w:val="22"/>
              </w:rPr>
              <w:t xml:space="preserve"> Arif, FCA, Engagement Partner of </w:t>
            </w:r>
            <w:proofErr w:type="spellStart"/>
            <w:r w:rsidRPr="00D42FCE">
              <w:rPr>
                <w:rFonts w:ascii="Book Antiqua" w:hAnsi="Book Antiqua"/>
                <w:sz w:val="22"/>
                <w:szCs w:val="22"/>
              </w:rPr>
              <w:t>Tanwir</w:t>
            </w:r>
            <w:proofErr w:type="spellEnd"/>
            <w:r w:rsidRPr="00D42FCE">
              <w:rPr>
                <w:rFonts w:ascii="Book Antiqua" w:hAnsi="Book Antiqua"/>
                <w:sz w:val="22"/>
                <w:szCs w:val="22"/>
              </w:rPr>
              <w:t xml:space="preserve"> Arif &amp; Co. Chartered Accountants (</w:t>
            </w:r>
            <w:r w:rsidRPr="00D42FCE">
              <w:rPr>
                <w:rFonts w:ascii="Book Antiqua" w:hAnsi="Book Antiqua"/>
                <w:b/>
                <w:sz w:val="22"/>
                <w:szCs w:val="22"/>
              </w:rPr>
              <w:t>the Auditor</w:t>
            </w:r>
            <w:r w:rsidRPr="00D42FCE">
              <w:rPr>
                <w:rFonts w:ascii="Book Antiqua" w:hAnsi="Book Antiqua"/>
                <w:sz w:val="22"/>
                <w:szCs w:val="22"/>
              </w:rPr>
              <w:t>), the auditors of Khyber Textile Mills Limited</w:t>
            </w:r>
          </w:p>
        </w:tc>
      </w:tr>
      <w:tr w:rsidR="00FD6E1D" w:rsidRPr="003E0610" w:rsidTr="00991511">
        <w:tc>
          <w:tcPr>
            <w:tcW w:w="2605" w:type="dxa"/>
          </w:tcPr>
          <w:p w:rsidR="00FD6E1D" w:rsidRPr="003E0610" w:rsidRDefault="00FD6E1D" w:rsidP="00774C99">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 xml:space="preserve">Name of Individual </w:t>
            </w:r>
          </w:p>
        </w:tc>
        <w:tc>
          <w:tcPr>
            <w:tcW w:w="6660" w:type="dxa"/>
          </w:tcPr>
          <w:p w:rsidR="00FD6E1D" w:rsidRPr="003E0610" w:rsidRDefault="00FD6E1D" w:rsidP="00774C99">
            <w:pPr>
              <w:jc w:val="both"/>
              <w:rPr>
                <w:rFonts w:ascii="Book Antiqua" w:hAnsi="Book Antiqua" w:cs="Times New Roman"/>
                <w:sz w:val="22"/>
                <w:szCs w:val="22"/>
              </w:rPr>
            </w:pPr>
            <w:r w:rsidRPr="003E0610">
              <w:rPr>
                <w:rFonts w:ascii="Book Antiqua" w:hAnsi="Book Antiqua" w:cs="Times New Roman"/>
                <w:sz w:val="22"/>
                <w:szCs w:val="22"/>
              </w:rPr>
              <w:t>The proceedings were initiated against the</w:t>
            </w:r>
            <w:r w:rsidR="00834E94" w:rsidRPr="003E0610">
              <w:rPr>
                <w:rFonts w:ascii="Book Antiqua" w:hAnsi="Book Antiqua" w:cs="Times New Roman"/>
                <w:sz w:val="22"/>
                <w:szCs w:val="22"/>
              </w:rPr>
              <w:t xml:space="preserve"> </w:t>
            </w:r>
            <w:r w:rsidR="00D13AFF" w:rsidRPr="00D42FCE">
              <w:rPr>
                <w:rFonts w:ascii="Book Antiqua" w:hAnsi="Book Antiqua"/>
                <w:sz w:val="22"/>
                <w:szCs w:val="22"/>
              </w:rPr>
              <w:t xml:space="preserve">Mr. </w:t>
            </w:r>
            <w:proofErr w:type="spellStart"/>
            <w:r w:rsidR="00D13AFF" w:rsidRPr="00D42FCE">
              <w:rPr>
                <w:rFonts w:ascii="Book Antiqua" w:hAnsi="Book Antiqua"/>
                <w:sz w:val="22"/>
                <w:szCs w:val="22"/>
              </w:rPr>
              <w:t>Tanwir</w:t>
            </w:r>
            <w:proofErr w:type="spellEnd"/>
            <w:r w:rsidR="00D13AFF" w:rsidRPr="00D42FCE">
              <w:rPr>
                <w:rFonts w:ascii="Book Antiqua" w:hAnsi="Book Antiqua"/>
                <w:sz w:val="22"/>
                <w:szCs w:val="22"/>
              </w:rPr>
              <w:t xml:space="preserve"> Arif, FCA, Engagement Partner of </w:t>
            </w:r>
            <w:proofErr w:type="spellStart"/>
            <w:r w:rsidR="00D13AFF" w:rsidRPr="00D42FCE">
              <w:rPr>
                <w:rFonts w:ascii="Book Antiqua" w:hAnsi="Book Antiqua"/>
                <w:sz w:val="22"/>
                <w:szCs w:val="22"/>
              </w:rPr>
              <w:t>Tanwir</w:t>
            </w:r>
            <w:proofErr w:type="spellEnd"/>
            <w:r w:rsidR="00D13AFF" w:rsidRPr="00D42FCE">
              <w:rPr>
                <w:rFonts w:ascii="Book Antiqua" w:hAnsi="Book Antiqua"/>
                <w:sz w:val="22"/>
                <w:szCs w:val="22"/>
              </w:rPr>
              <w:t xml:space="preserve"> Arif &amp; Co. Chartered Accountants (</w:t>
            </w:r>
            <w:r w:rsidR="00D13AFF" w:rsidRPr="00D42FCE">
              <w:rPr>
                <w:rFonts w:ascii="Book Antiqua" w:hAnsi="Book Antiqua"/>
                <w:b/>
                <w:sz w:val="22"/>
                <w:szCs w:val="22"/>
              </w:rPr>
              <w:t>the Auditor</w:t>
            </w:r>
            <w:r w:rsidR="00D13AFF" w:rsidRPr="00D42FCE">
              <w:rPr>
                <w:rFonts w:ascii="Book Antiqua" w:hAnsi="Book Antiqua"/>
                <w:sz w:val="22"/>
                <w:szCs w:val="22"/>
              </w:rPr>
              <w:t>), the auditors of Khyber Textile Mills Limited</w:t>
            </w:r>
            <w:bookmarkStart w:id="0" w:name="_GoBack"/>
            <w:bookmarkEnd w:id="0"/>
          </w:p>
        </w:tc>
      </w:tr>
      <w:tr w:rsidR="00FD6E1D" w:rsidRPr="003E0610" w:rsidTr="00991511">
        <w:tc>
          <w:tcPr>
            <w:tcW w:w="2605" w:type="dxa"/>
          </w:tcPr>
          <w:p w:rsidR="00FD6E1D" w:rsidRPr="003E0610" w:rsidRDefault="00FD6E1D" w:rsidP="00774C99">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774C99">
            <w:pPr>
              <w:jc w:val="both"/>
              <w:rPr>
                <w:rFonts w:ascii="Book Antiqua" w:hAnsi="Book Antiqua" w:cs="Times New Roman"/>
                <w:sz w:val="22"/>
                <w:szCs w:val="22"/>
              </w:rPr>
            </w:pPr>
          </w:p>
        </w:tc>
        <w:tc>
          <w:tcPr>
            <w:tcW w:w="6660" w:type="dxa"/>
          </w:tcPr>
          <w:p w:rsidR="00454F25" w:rsidRDefault="00FD6E1D" w:rsidP="00774C99">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D13AFF" w:rsidRPr="00D42FCE">
              <w:rPr>
                <w:rFonts w:ascii="Book Antiqua" w:hAnsi="Book Antiqua"/>
                <w:sz w:val="22"/>
                <w:szCs w:val="22"/>
              </w:rPr>
              <w:t>sub-regulation (3) of regulation 36 of the Listed Companies (Code of Corporate Governance) Regulations, 2019 (</w:t>
            </w:r>
            <w:r w:rsidR="00D13AFF" w:rsidRPr="00D42FCE">
              <w:rPr>
                <w:rFonts w:ascii="Book Antiqua" w:hAnsi="Book Antiqua"/>
                <w:b/>
                <w:sz w:val="22"/>
                <w:szCs w:val="22"/>
              </w:rPr>
              <w:t>the Regulations</w:t>
            </w:r>
            <w:r w:rsidR="00D13AFF" w:rsidRPr="00D42FCE">
              <w:rPr>
                <w:rFonts w:ascii="Book Antiqua" w:hAnsi="Book Antiqua"/>
                <w:sz w:val="22"/>
                <w:szCs w:val="22"/>
              </w:rPr>
              <w:t>) read with regulation 37 thereof and sub-section (2) of Section 512 of the Companies Act, 2017 (</w:t>
            </w:r>
            <w:r w:rsidR="00D13AFF" w:rsidRPr="00D42FCE">
              <w:rPr>
                <w:rFonts w:ascii="Book Antiqua" w:hAnsi="Book Antiqua"/>
                <w:b/>
                <w:sz w:val="22"/>
                <w:szCs w:val="22"/>
              </w:rPr>
              <w:t>the Act</w:t>
            </w:r>
            <w:r w:rsidR="00D13AFF" w:rsidRPr="00D42FCE">
              <w:rPr>
                <w:rFonts w:ascii="Book Antiqua" w:hAnsi="Book Antiqua"/>
                <w:sz w:val="22"/>
                <w:szCs w:val="22"/>
              </w:rPr>
              <w:t>)</w:t>
            </w:r>
          </w:p>
          <w:p w:rsidR="00A179C1" w:rsidRPr="003E0610" w:rsidRDefault="00A179C1" w:rsidP="00774C99">
            <w:pPr>
              <w:jc w:val="both"/>
              <w:rPr>
                <w:rFonts w:ascii="Book Antiqua" w:hAnsi="Book Antiqua"/>
                <w:sz w:val="22"/>
                <w:szCs w:val="22"/>
              </w:rPr>
            </w:pPr>
          </w:p>
          <w:p w:rsidR="003E0610" w:rsidRPr="003E0610" w:rsidRDefault="00D13AFF" w:rsidP="00774C99">
            <w:pPr>
              <w:pStyle w:val="ListParagraph"/>
              <w:ind w:left="0"/>
              <w:contextualSpacing w:val="0"/>
              <w:jc w:val="both"/>
              <w:rPr>
                <w:rFonts w:ascii="Book Antiqua" w:hAnsi="Book Antiqua" w:cs="Times New Roman"/>
                <w:sz w:val="22"/>
                <w:szCs w:val="22"/>
              </w:rPr>
            </w:pPr>
            <w:r w:rsidRPr="00D42FCE">
              <w:rPr>
                <w:rFonts w:ascii="Book Antiqua" w:hAnsi="Book Antiqua" w:cs="Times New Roman"/>
                <w:sz w:val="22"/>
                <w:szCs w:val="22"/>
              </w:rPr>
              <w:t>Brief facts of the case are that</w:t>
            </w:r>
            <w:r w:rsidRPr="00D42FCE">
              <w:rPr>
                <w:rFonts w:ascii="Book Antiqua" w:hAnsi="Book Antiqua"/>
                <w:sz w:val="22"/>
                <w:szCs w:val="22"/>
              </w:rPr>
              <w:t xml:space="preserve"> the </w:t>
            </w:r>
            <w:r w:rsidRPr="00D42FCE">
              <w:rPr>
                <w:rFonts w:ascii="Book Antiqua" w:hAnsi="Book Antiqua" w:cs="Times New Roman"/>
                <w:sz w:val="22"/>
                <w:szCs w:val="22"/>
              </w:rPr>
              <w:t>Company</w:t>
            </w:r>
            <w:r w:rsidRPr="00D42FCE">
              <w:rPr>
                <w:rFonts w:ascii="Book Antiqua" w:hAnsi="Book Antiqua" w:cs="Times New Roman"/>
                <w:b/>
                <w:bCs/>
                <w:sz w:val="22"/>
                <w:szCs w:val="22"/>
                <w:lang w:bidi="he-IL"/>
              </w:rPr>
              <w:t xml:space="preserve"> </w:t>
            </w:r>
            <w:r w:rsidRPr="00D42FCE">
              <w:rPr>
                <w:rFonts w:ascii="Book Antiqua" w:hAnsi="Book Antiqua" w:cs="Times New Roman"/>
                <w:sz w:val="22"/>
                <w:szCs w:val="22"/>
              </w:rPr>
              <w:t>held election of directors in its annual general meeting (</w:t>
            </w:r>
            <w:r w:rsidRPr="00D42FCE">
              <w:rPr>
                <w:rFonts w:ascii="Book Antiqua" w:hAnsi="Book Antiqua" w:cs="Times New Roman"/>
                <w:b/>
                <w:sz w:val="22"/>
                <w:szCs w:val="22"/>
              </w:rPr>
              <w:t>AGM</w:t>
            </w:r>
            <w:r w:rsidRPr="00D42FCE">
              <w:rPr>
                <w:rFonts w:ascii="Book Antiqua" w:hAnsi="Book Antiqua" w:cs="Times New Roman"/>
                <w:sz w:val="22"/>
                <w:szCs w:val="22"/>
              </w:rPr>
              <w:t xml:space="preserve">) on October 25, 2019 wherein seven directors were elected including only one independent director namely Mr. </w:t>
            </w:r>
            <w:r w:rsidR="00774C99">
              <w:rPr>
                <w:rFonts w:ascii="Book Antiqua" w:hAnsi="Book Antiqua" w:cs="Times New Roman"/>
                <w:sz w:val="22"/>
                <w:szCs w:val="22"/>
              </w:rPr>
              <w:t>*****</w:t>
            </w:r>
            <w:r w:rsidRPr="00D42FCE">
              <w:rPr>
                <w:rFonts w:ascii="Book Antiqua" w:hAnsi="Book Antiqua" w:cs="Times New Roman"/>
                <w:sz w:val="22"/>
                <w:szCs w:val="22"/>
              </w:rPr>
              <w:t xml:space="preserve"> as against the mandatory requirement for listed companies, under regulations 6(1) of the Regulations to have at least two or one third members of the Board, whichever is higher, as independent directors. The </w:t>
            </w:r>
            <w:r w:rsidRPr="00D42FCE">
              <w:rPr>
                <w:rFonts w:ascii="Book Antiqua" w:hAnsi="Book Antiqua" w:cs="Times New Roman"/>
                <w:sz w:val="22"/>
                <w:szCs w:val="22"/>
                <w:lang w:bidi="he-IL"/>
              </w:rPr>
              <w:t xml:space="preserve">review of the Statement of Compliance with the Regulations given under audited financial statements for the period ended June 30, 2019 and June 30, 2020 </w:t>
            </w:r>
            <w:r w:rsidRPr="00D42FCE">
              <w:rPr>
                <w:rFonts w:ascii="Book Antiqua" w:hAnsi="Book Antiqua" w:cs="Times New Roman"/>
                <w:b/>
                <w:bCs/>
                <w:sz w:val="22"/>
                <w:szCs w:val="22"/>
                <w:lang w:bidi="he-IL"/>
              </w:rPr>
              <w:t xml:space="preserve">(the Accounts) </w:t>
            </w:r>
            <w:r w:rsidRPr="00D42FCE">
              <w:rPr>
                <w:rFonts w:ascii="Book Antiqua" w:hAnsi="Book Antiqua" w:cs="Times New Roman"/>
                <w:sz w:val="22"/>
                <w:szCs w:val="22"/>
                <w:lang w:bidi="he-IL"/>
              </w:rPr>
              <w:t xml:space="preserve">revealed that despite having only one </w:t>
            </w:r>
            <w:r w:rsidRPr="00D42FCE">
              <w:rPr>
                <w:rFonts w:ascii="Book Antiqua" w:hAnsi="Book Antiqua" w:cs="Times New Roman"/>
                <w:sz w:val="22"/>
                <w:szCs w:val="22"/>
                <w:lang w:bidi="he-IL"/>
              </w:rPr>
              <w:lastRenderedPageBreak/>
              <w:t>independent director on its Board, the Company stated that it</w:t>
            </w:r>
            <w:r w:rsidRPr="00D42FCE">
              <w:rPr>
                <w:rFonts w:ascii="Book Antiqua" w:hAnsi="Book Antiqua"/>
                <w:w w:val="151"/>
                <w:sz w:val="22"/>
                <w:szCs w:val="22"/>
                <w:lang w:bidi="he-IL"/>
              </w:rPr>
              <w:t xml:space="preserve"> </w:t>
            </w:r>
            <w:r w:rsidRPr="00D42FCE">
              <w:rPr>
                <w:rFonts w:ascii="Book Antiqua" w:hAnsi="Book Antiqua" w:cs="Times New Roman"/>
                <w:sz w:val="22"/>
                <w:szCs w:val="22"/>
                <w:lang w:bidi="he-IL"/>
              </w:rPr>
              <w:t>has complied with all the mandatory provisions of the Regulations and the Auditor in its review report on Company's Statement of Compliance with the Regulations for the years ended June 30, 2019 and June 30, 2020 did not highlight the said non-compliance by the Company.</w:t>
            </w:r>
          </w:p>
        </w:tc>
      </w:tr>
      <w:tr w:rsidR="00FD6E1D" w:rsidRPr="003E0610" w:rsidTr="00991511">
        <w:tc>
          <w:tcPr>
            <w:tcW w:w="2605" w:type="dxa"/>
          </w:tcPr>
          <w:p w:rsidR="00FD6E1D" w:rsidRPr="003E0610" w:rsidRDefault="00FD6E1D" w:rsidP="00774C99">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lastRenderedPageBreak/>
              <w:t>Action Taken</w:t>
            </w:r>
          </w:p>
          <w:p w:rsidR="00FD6E1D" w:rsidRPr="003E0610" w:rsidRDefault="00FD6E1D" w:rsidP="00774C99">
            <w:pPr>
              <w:jc w:val="both"/>
              <w:rPr>
                <w:rFonts w:ascii="Book Antiqua" w:hAnsi="Book Antiqua" w:cs="Times New Roman"/>
                <w:sz w:val="22"/>
                <w:szCs w:val="22"/>
              </w:rPr>
            </w:pPr>
          </w:p>
        </w:tc>
        <w:tc>
          <w:tcPr>
            <w:tcW w:w="6660" w:type="dxa"/>
          </w:tcPr>
          <w:p w:rsidR="00963191" w:rsidRPr="003E0610" w:rsidRDefault="00963191" w:rsidP="00774C99">
            <w:pPr>
              <w:tabs>
                <w:tab w:val="left" w:pos="0"/>
              </w:tabs>
              <w:autoSpaceDE w:val="0"/>
              <w:autoSpaceDN w:val="0"/>
              <w:adjustRightInd w:val="0"/>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605013" w:rsidRDefault="00605013" w:rsidP="00774C99">
            <w:pPr>
              <w:pStyle w:val="ListParagraph"/>
              <w:widowControl w:val="0"/>
              <w:autoSpaceDE w:val="0"/>
              <w:autoSpaceDN w:val="0"/>
              <w:adjustRightInd w:val="0"/>
              <w:ind w:left="0" w:right="-45"/>
              <w:contextualSpacing w:val="0"/>
              <w:jc w:val="both"/>
              <w:rPr>
                <w:rFonts w:ascii="Book Antiqua" w:hAnsi="Book Antiqua"/>
                <w:sz w:val="22"/>
                <w:szCs w:val="22"/>
              </w:rPr>
            </w:pPr>
          </w:p>
          <w:p w:rsidR="00D13AFF" w:rsidRPr="00D42FCE" w:rsidRDefault="00D13AFF" w:rsidP="00774C99">
            <w:pPr>
              <w:pStyle w:val="ListParagraph"/>
              <w:ind w:left="0"/>
              <w:contextualSpacing w:val="0"/>
              <w:jc w:val="both"/>
              <w:rPr>
                <w:rFonts w:ascii="Book Antiqua" w:hAnsi="Book Antiqua"/>
                <w:sz w:val="22"/>
                <w:szCs w:val="22"/>
              </w:rPr>
            </w:pPr>
            <w:r w:rsidRPr="00D42FCE">
              <w:rPr>
                <w:rFonts w:ascii="Book Antiqua" w:eastAsia="Calibri" w:hAnsi="Book Antiqua"/>
                <w:sz w:val="22"/>
                <w:szCs w:val="22"/>
              </w:rPr>
              <w:t>I have gone through the fact of the case, relevant provisions of the law, the record placed before me, written and verbal submission made by the Respondent</w:t>
            </w:r>
            <w:r>
              <w:rPr>
                <w:rFonts w:ascii="Book Antiqua" w:eastAsia="Calibri" w:hAnsi="Book Antiqua"/>
                <w:sz w:val="22"/>
                <w:szCs w:val="22"/>
              </w:rPr>
              <w:t>. It is</w:t>
            </w:r>
            <w:r w:rsidRPr="00D42FCE">
              <w:rPr>
                <w:rFonts w:ascii="Book Antiqua" w:eastAsia="Calibri" w:hAnsi="Book Antiqua"/>
                <w:sz w:val="22"/>
                <w:szCs w:val="22"/>
              </w:rPr>
              <w:t xml:space="preserve"> observed that election of directors of the Company was held in AGM on October 25, 2019 wherein the Company was required to elect at least two independent directors in terms of regulation 6 of both the CCG Regulations, 2017 and the Regulations. However the Company appointed only one independent director and t</w:t>
            </w:r>
            <w:r w:rsidRPr="00D42FCE">
              <w:rPr>
                <w:rFonts w:ascii="Book Antiqua" w:hAnsi="Book Antiqua" w:cs="Times New Roman"/>
                <w:sz w:val="22"/>
                <w:szCs w:val="22"/>
                <w:lang w:bidi="he-IL"/>
              </w:rPr>
              <w:t>he Auditor</w:t>
            </w:r>
            <w:r w:rsidRPr="00D42FCE">
              <w:rPr>
                <w:rFonts w:ascii="Book Antiqua" w:hAnsi="Book Antiqua" w:cs="Times New Roman"/>
                <w:b/>
                <w:bCs/>
                <w:sz w:val="22"/>
                <w:szCs w:val="22"/>
                <w:lang w:bidi="he-IL"/>
              </w:rPr>
              <w:t xml:space="preserve"> </w:t>
            </w:r>
            <w:r w:rsidRPr="00D42FCE">
              <w:rPr>
                <w:rFonts w:ascii="Book Antiqua" w:hAnsi="Book Antiqua" w:cs="Times New Roman"/>
                <w:sz w:val="22"/>
                <w:szCs w:val="22"/>
                <w:lang w:bidi="he-IL"/>
              </w:rPr>
              <w:t>in its review report on Company's Statement of Compliance with the Regulations for the years ended June 30, 2019 and June 30, 2020 has failed to highlight the said non-compliance by the Company. The plea of the Auditor that the requirement related to number of independent directors was not mandatory under CCG Regulations, 2017 is not tenable due to the fact that compliance with all the provisions of CCG Regulations, 2017 was a must for the listed companies and “Comply or Explain” approach was introduced in the Regulations wherein few regulations were made “mandatory” and leaving remaining at the discretion of the companies to either comply or explain reasons otherwise.</w:t>
            </w:r>
          </w:p>
          <w:p w:rsidR="00D13AFF" w:rsidRPr="00D42FCE" w:rsidRDefault="00D13AFF" w:rsidP="00774C99">
            <w:pPr>
              <w:pStyle w:val="ListParagraph"/>
              <w:ind w:left="0"/>
              <w:contextualSpacing w:val="0"/>
              <w:jc w:val="both"/>
              <w:rPr>
                <w:rFonts w:ascii="Book Antiqua" w:hAnsi="Book Antiqua"/>
                <w:sz w:val="22"/>
                <w:szCs w:val="22"/>
              </w:rPr>
            </w:pPr>
          </w:p>
          <w:p w:rsidR="00D13AFF" w:rsidRDefault="00D13AFF" w:rsidP="00774C99">
            <w:pPr>
              <w:pStyle w:val="ListParagraph"/>
              <w:ind w:left="0"/>
              <w:contextualSpacing w:val="0"/>
              <w:jc w:val="both"/>
              <w:rPr>
                <w:rFonts w:ascii="Book Antiqua" w:hAnsi="Book Antiqua" w:cs="Times New Roman"/>
                <w:sz w:val="22"/>
                <w:szCs w:val="22"/>
              </w:rPr>
            </w:pPr>
            <w:r w:rsidRPr="00D42FCE">
              <w:rPr>
                <w:rFonts w:ascii="Book Antiqua" w:hAnsi="Book Antiqua" w:cs="Times New Roman"/>
                <w:sz w:val="22"/>
                <w:szCs w:val="22"/>
              </w:rPr>
              <w:t>From the above discussion and after careful consideration of all the facts of the case, I, am of the view that the Auditor did not appropriately highlight non-compliance of CCG Regulation 6 in the respective Auditor’s Report on financial statements of the Company for the year 2020.</w:t>
            </w:r>
          </w:p>
          <w:p w:rsidR="00D13AFF" w:rsidRPr="00D13AFF" w:rsidRDefault="00D13AFF" w:rsidP="00774C99">
            <w:pPr>
              <w:pStyle w:val="ListParagraph"/>
              <w:ind w:left="0"/>
              <w:contextualSpacing w:val="0"/>
              <w:jc w:val="both"/>
              <w:rPr>
                <w:rFonts w:ascii="Book Antiqua" w:hAnsi="Book Antiqua" w:cs="Times New Roman"/>
                <w:sz w:val="22"/>
                <w:szCs w:val="22"/>
              </w:rPr>
            </w:pPr>
          </w:p>
          <w:p w:rsidR="00D13AFF" w:rsidRPr="00D42FCE" w:rsidRDefault="00D13AFF" w:rsidP="00774C99">
            <w:pPr>
              <w:pStyle w:val="ListParagraph"/>
              <w:ind w:left="0"/>
              <w:contextualSpacing w:val="0"/>
              <w:jc w:val="both"/>
              <w:rPr>
                <w:rFonts w:ascii="Book Antiqua" w:hAnsi="Book Antiqua" w:cs="Times New Roman"/>
                <w:sz w:val="22"/>
                <w:szCs w:val="22"/>
              </w:rPr>
            </w:pPr>
            <w:r w:rsidRPr="00D42FCE">
              <w:rPr>
                <w:rFonts w:ascii="Book Antiqua" w:eastAsiaTheme="minorHAnsi" w:hAnsi="Book Antiqua" w:cs="Times New Roman"/>
                <w:color w:val="000000" w:themeColor="text1"/>
                <w:sz w:val="22"/>
                <w:szCs w:val="22"/>
              </w:rPr>
              <w:t xml:space="preserve">Keeping </w:t>
            </w:r>
            <w:bookmarkStart w:id="1" w:name="_Hlk109382103"/>
            <w:r w:rsidRPr="00D42FCE">
              <w:rPr>
                <w:rFonts w:ascii="Book Antiqua" w:hAnsi="Book Antiqua"/>
                <w:sz w:val="22"/>
                <w:szCs w:val="22"/>
              </w:rPr>
              <w:t>in view the above,</w:t>
            </w:r>
            <w:r w:rsidRPr="00D42FCE">
              <w:rPr>
                <w:rFonts w:ascii="Book Antiqua" w:hAnsi="Book Antiqua"/>
                <w:color w:val="000000" w:themeColor="text1"/>
                <w:sz w:val="22"/>
                <w:szCs w:val="22"/>
              </w:rPr>
              <w:t xml:space="preserve"> I, in exercise of the powers conferred under regulation 37 of the Regulations read with Section 512 of the Act, hereby </w:t>
            </w:r>
            <w:r w:rsidRPr="00D42FCE">
              <w:rPr>
                <w:rFonts w:ascii="Book Antiqua" w:eastAsia="Calibri" w:hAnsi="Book Antiqua"/>
                <w:color w:val="000000" w:themeColor="text1"/>
                <w:sz w:val="22"/>
                <w:szCs w:val="22"/>
              </w:rPr>
              <w:t xml:space="preserve">impose  penalty of </w:t>
            </w:r>
            <w:r w:rsidRPr="00D42FCE">
              <w:rPr>
                <w:rFonts w:ascii="Book Antiqua" w:eastAsia="Calibri" w:hAnsi="Book Antiqua"/>
                <w:b/>
                <w:color w:val="000000" w:themeColor="text1"/>
                <w:sz w:val="22"/>
                <w:szCs w:val="22"/>
              </w:rPr>
              <w:t xml:space="preserve">Rs. </w:t>
            </w:r>
            <w:r>
              <w:rPr>
                <w:rFonts w:ascii="Book Antiqua" w:eastAsia="Calibri" w:hAnsi="Book Antiqua"/>
                <w:b/>
                <w:color w:val="000000" w:themeColor="text1"/>
                <w:sz w:val="22"/>
                <w:szCs w:val="22"/>
                <w:u w:val="single"/>
              </w:rPr>
              <w:t>25,000</w:t>
            </w:r>
            <w:r w:rsidRPr="00D42FCE">
              <w:rPr>
                <w:rFonts w:ascii="Book Antiqua" w:eastAsia="Calibri" w:hAnsi="Book Antiqua"/>
                <w:b/>
                <w:color w:val="000000" w:themeColor="text1"/>
                <w:sz w:val="22"/>
                <w:szCs w:val="22"/>
              </w:rPr>
              <w:t>/- (</w:t>
            </w:r>
            <w:r w:rsidRPr="00D42FCE">
              <w:rPr>
                <w:rFonts w:ascii="Book Antiqua" w:eastAsia="Calibri" w:hAnsi="Book Antiqua"/>
                <w:b/>
                <w:color w:val="000000" w:themeColor="text1"/>
                <w:sz w:val="22"/>
                <w:szCs w:val="22"/>
                <w:u w:val="single"/>
              </w:rPr>
              <w:t xml:space="preserve">Rupees </w:t>
            </w:r>
            <w:r>
              <w:rPr>
                <w:rFonts w:ascii="Book Antiqua" w:eastAsia="Calibri" w:hAnsi="Book Antiqua"/>
                <w:b/>
                <w:color w:val="000000" w:themeColor="text1"/>
                <w:sz w:val="22"/>
                <w:szCs w:val="22"/>
                <w:u w:val="single"/>
              </w:rPr>
              <w:t>Twenty Five Thousand</w:t>
            </w:r>
            <w:r w:rsidRPr="00CE027C">
              <w:rPr>
                <w:rFonts w:ascii="Book Antiqua" w:eastAsia="Calibri" w:hAnsi="Book Antiqua"/>
                <w:b/>
                <w:color w:val="000000" w:themeColor="text1"/>
                <w:sz w:val="22"/>
                <w:szCs w:val="22"/>
                <w:u w:val="single"/>
              </w:rPr>
              <w:t xml:space="preserve"> </w:t>
            </w:r>
            <w:r w:rsidRPr="00D42FCE">
              <w:rPr>
                <w:rFonts w:ascii="Book Antiqua" w:eastAsia="Calibri" w:hAnsi="Book Antiqua"/>
                <w:b/>
                <w:color w:val="000000" w:themeColor="text1"/>
                <w:sz w:val="22"/>
                <w:szCs w:val="22"/>
                <w:u w:val="single"/>
              </w:rPr>
              <w:t>only</w:t>
            </w:r>
            <w:r w:rsidRPr="00D42FCE">
              <w:rPr>
                <w:rFonts w:ascii="Book Antiqua" w:eastAsia="Calibri" w:hAnsi="Book Antiqua"/>
                <w:color w:val="000000" w:themeColor="text1"/>
                <w:sz w:val="22"/>
                <w:szCs w:val="22"/>
              </w:rPr>
              <w:t>) on the Respondent.</w:t>
            </w:r>
            <w:bookmarkEnd w:id="1"/>
          </w:p>
          <w:p w:rsidR="00D13AFF" w:rsidRPr="00D42FCE" w:rsidRDefault="00D13AFF" w:rsidP="00774C99">
            <w:pPr>
              <w:autoSpaceDE w:val="0"/>
              <w:autoSpaceDN w:val="0"/>
              <w:adjustRightInd w:val="0"/>
              <w:jc w:val="both"/>
              <w:rPr>
                <w:rFonts w:ascii="Book Antiqua" w:hAnsi="Book Antiqua" w:cs="Times New Roman"/>
                <w:sz w:val="22"/>
                <w:szCs w:val="22"/>
              </w:rPr>
            </w:pPr>
          </w:p>
          <w:p w:rsidR="00213C34" w:rsidRPr="003E0610" w:rsidRDefault="00D13AFF" w:rsidP="00774C99">
            <w:pPr>
              <w:jc w:val="both"/>
              <w:rPr>
                <w:rFonts w:ascii="Book Antiqua" w:hAnsi="Book Antiqua" w:cs="Times New Roman"/>
                <w:sz w:val="22"/>
                <w:szCs w:val="22"/>
              </w:rPr>
            </w:pPr>
            <w:r w:rsidRPr="00D42FCE">
              <w:rPr>
                <w:rFonts w:ascii="Book Antiqua" w:hAnsi="Book Antiqua" w:cs="Times New Roman"/>
                <w:sz w:val="22"/>
                <w:szCs w:val="22"/>
              </w:rPr>
              <w:t xml:space="preserve">Nothing in this Order may be deemed to prejudice the operation of any provision of the Act providing for imposition of penalties in respect of any default, omission, violation of the Act. </w:t>
            </w:r>
          </w:p>
        </w:tc>
      </w:tr>
      <w:tr w:rsidR="00FD6E1D" w:rsidRPr="003E0610" w:rsidTr="00991511">
        <w:tc>
          <w:tcPr>
            <w:tcW w:w="2605" w:type="dxa"/>
          </w:tcPr>
          <w:p w:rsidR="00FD6E1D" w:rsidRPr="003E0610" w:rsidRDefault="00FD6E1D" w:rsidP="00774C99">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t>Penalty Imposed</w:t>
            </w:r>
          </w:p>
          <w:p w:rsidR="00FD6E1D" w:rsidRPr="003E0610" w:rsidRDefault="00FD6E1D" w:rsidP="00774C99">
            <w:pPr>
              <w:jc w:val="both"/>
              <w:rPr>
                <w:rFonts w:ascii="Book Antiqua" w:hAnsi="Book Antiqua" w:cs="Times New Roman"/>
                <w:sz w:val="22"/>
                <w:szCs w:val="22"/>
              </w:rPr>
            </w:pPr>
          </w:p>
        </w:tc>
        <w:tc>
          <w:tcPr>
            <w:tcW w:w="6660" w:type="dxa"/>
          </w:tcPr>
          <w:p w:rsidR="00FD6E1D" w:rsidRPr="003E0610" w:rsidRDefault="00D13AFF" w:rsidP="00774C99">
            <w:pPr>
              <w:rPr>
                <w:rFonts w:ascii="Book Antiqua" w:hAnsi="Book Antiqua" w:cs="Times New Roman"/>
                <w:sz w:val="22"/>
                <w:szCs w:val="22"/>
              </w:rPr>
            </w:pPr>
            <w:r w:rsidRPr="00D42FCE">
              <w:rPr>
                <w:rFonts w:ascii="Book Antiqua" w:eastAsia="Calibri" w:hAnsi="Book Antiqua"/>
                <w:b/>
                <w:color w:val="000000" w:themeColor="text1"/>
                <w:sz w:val="22"/>
                <w:szCs w:val="22"/>
              </w:rPr>
              <w:t xml:space="preserve">Rs. </w:t>
            </w:r>
            <w:r>
              <w:rPr>
                <w:rFonts w:ascii="Book Antiqua" w:eastAsia="Calibri" w:hAnsi="Book Antiqua"/>
                <w:b/>
                <w:color w:val="000000" w:themeColor="text1"/>
                <w:sz w:val="22"/>
                <w:szCs w:val="22"/>
                <w:u w:val="single"/>
              </w:rPr>
              <w:t>25,000</w:t>
            </w:r>
            <w:r w:rsidRPr="00D42FCE">
              <w:rPr>
                <w:rFonts w:ascii="Book Antiqua" w:eastAsia="Calibri" w:hAnsi="Book Antiqua"/>
                <w:b/>
                <w:color w:val="000000" w:themeColor="text1"/>
                <w:sz w:val="22"/>
                <w:szCs w:val="22"/>
              </w:rPr>
              <w:t>/- (</w:t>
            </w:r>
            <w:r w:rsidRPr="00D42FCE">
              <w:rPr>
                <w:rFonts w:ascii="Book Antiqua" w:eastAsia="Calibri" w:hAnsi="Book Antiqua"/>
                <w:b/>
                <w:color w:val="000000" w:themeColor="text1"/>
                <w:sz w:val="22"/>
                <w:szCs w:val="22"/>
                <w:u w:val="single"/>
              </w:rPr>
              <w:t xml:space="preserve">Rupees </w:t>
            </w:r>
            <w:r>
              <w:rPr>
                <w:rFonts w:ascii="Book Antiqua" w:eastAsia="Calibri" w:hAnsi="Book Antiqua"/>
                <w:b/>
                <w:color w:val="000000" w:themeColor="text1"/>
                <w:sz w:val="22"/>
                <w:szCs w:val="22"/>
                <w:u w:val="single"/>
              </w:rPr>
              <w:t>Twenty Five Thousand</w:t>
            </w:r>
            <w:r w:rsidRPr="00CE027C">
              <w:rPr>
                <w:rFonts w:ascii="Book Antiqua" w:eastAsia="Calibri" w:hAnsi="Book Antiqua"/>
                <w:b/>
                <w:color w:val="000000" w:themeColor="text1"/>
                <w:sz w:val="22"/>
                <w:szCs w:val="22"/>
                <w:u w:val="single"/>
              </w:rPr>
              <w:t xml:space="preserve"> </w:t>
            </w:r>
            <w:r w:rsidRPr="00D42FCE">
              <w:rPr>
                <w:rFonts w:ascii="Book Antiqua" w:eastAsia="Calibri" w:hAnsi="Book Antiqua"/>
                <w:b/>
                <w:color w:val="000000" w:themeColor="text1"/>
                <w:sz w:val="22"/>
                <w:szCs w:val="22"/>
                <w:u w:val="single"/>
              </w:rPr>
              <w:t>only</w:t>
            </w:r>
            <w:r w:rsidRPr="00D42FCE">
              <w:rPr>
                <w:rFonts w:ascii="Book Antiqua" w:eastAsia="Calibri" w:hAnsi="Book Antiqua"/>
                <w:color w:val="000000" w:themeColor="text1"/>
                <w:sz w:val="22"/>
                <w:szCs w:val="22"/>
              </w:rPr>
              <w:t>)</w:t>
            </w:r>
          </w:p>
        </w:tc>
      </w:tr>
      <w:tr w:rsidR="00FD6E1D" w:rsidRPr="003E0610" w:rsidTr="00991511">
        <w:tc>
          <w:tcPr>
            <w:tcW w:w="2605" w:type="dxa"/>
          </w:tcPr>
          <w:p w:rsidR="00FD6E1D" w:rsidRPr="003E0610" w:rsidRDefault="00FD6E1D" w:rsidP="00774C99">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6D6A98" w:rsidP="00774C99">
            <w:pPr>
              <w:jc w:val="both"/>
              <w:rPr>
                <w:rFonts w:ascii="Book Antiqua" w:hAnsi="Book Antiqua" w:cs="Times New Roman"/>
                <w:sz w:val="22"/>
                <w:szCs w:val="22"/>
              </w:rPr>
            </w:pPr>
            <w:r w:rsidRPr="003E0610">
              <w:rPr>
                <w:rFonts w:ascii="Book Antiqua" w:hAnsi="Book Antiqua" w:cs="Times New Roman"/>
                <w:sz w:val="22"/>
                <w:szCs w:val="22"/>
              </w:rPr>
              <w:t xml:space="preserve">No </w:t>
            </w:r>
            <w:r w:rsidR="00FD6E1D" w:rsidRPr="003E0610">
              <w:rPr>
                <w:rFonts w:ascii="Book Antiqua" w:hAnsi="Book Antiqua" w:cs="Times New Roman"/>
                <w:sz w:val="22"/>
                <w:szCs w:val="22"/>
              </w:rPr>
              <w:t>Appeal has been filed by the respondents.</w:t>
            </w:r>
          </w:p>
        </w:tc>
      </w:tr>
    </w:tbl>
    <w:p w:rsidR="007F33F3" w:rsidRPr="003E0610" w:rsidRDefault="007F33F3" w:rsidP="00774C99">
      <w:pPr>
        <w:ind w:firstLine="720"/>
        <w:jc w:val="both"/>
        <w:rPr>
          <w:rFonts w:ascii="Book Antiqua" w:hAnsi="Book Antiqua" w:cs="Times New Roman"/>
          <w:sz w:val="22"/>
          <w:szCs w:val="22"/>
        </w:rPr>
      </w:pPr>
    </w:p>
    <w:p w:rsidR="00C429B2" w:rsidRPr="003E0610" w:rsidRDefault="00C429B2" w:rsidP="00774C99">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84D" w:rsidRDefault="000F784D" w:rsidP="007F33F3">
      <w:r>
        <w:separator/>
      </w:r>
    </w:p>
  </w:endnote>
  <w:endnote w:type="continuationSeparator" w:id="0">
    <w:p w:rsidR="000F784D" w:rsidRDefault="000F784D"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84D" w:rsidRDefault="000F784D" w:rsidP="007F33F3">
      <w:r>
        <w:separator/>
      </w:r>
    </w:p>
  </w:footnote>
  <w:footnote w:type="continuationSeparator" w:id="0">
    <w:p w:rsidR="000F784D" w:rsidRDefault="000F784D"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12F61354"/>
    <w:multiLevelType w:val="hybridMultilevel"/>
    <w:tmpl w:val="E0EA1BBC"/>
    <w:lvl w:ilvl="0" w:tplc="6B2C07F4">
      <w:start w:val="2"/>
      <w:numFmt w:val="decimal"/>
      <w:lvlText w:val="%1."/>
      <w:lvlJc w:val="left"/>
      <w:pPr>
        <w:ind w:left="502"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1"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7"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4"/>
  </w:num>
  <w:num w:numId="5">
    <w:abstractNumId w:val="1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0"/>
  </w:num>
  <w:num w:numId="13">
    <w:abstractNumId w:val="16"/>
  </w:num>
  <w:num w:numId="14">
    <w:abstractNumId w:val="6"/>
  </w:num>
  <w:num w:numId="15">
    <w:abstractNumId w:val="14"/>
  </w:num>
  <w:num w:numId="16">
    <w:abstractNumId w:val="7"/>
  </w:num>
  <w:num w:numId="17">
    <w:abstractNumId w:val="18"/>
  </w:num>
  <w:num w:numId="18">
    <w:abstractNumId w:val="9"/>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74EA7"/>
    <w:rsid w:val="000A7E2E"/>
    <w:rsid w:val="000B0DAF"/>
    <w:rsid w:val="000C1646"/>
    <w:rsid w:val="000E0E3A"/>
    <w:rsid w:val="000E36EA"/>
    <w:rsid w:val="000F784D"/>
    <w:rsid w:val="001127B2"/>
    <w:rsid w:val="0011373B"/>
    <w:rsid w:val="00130711"/>
    <w:rsid w:val="00140BDC"/>
    <w:rsid w:val="001459DF"/>
    <w:rsid w:val="00147622"/>
    <w:rsid w:val="00161A12"/>
    <w:rsid w:val="00161ABE"/>
    <w:rsid w:val="00162ACC"/>
    <w:rsid w:val="00177B50"/>
    <w:rsid w:val="00177C10"/>
    <w:rsid w:val="00192BA5"/>
    <w:rsid w:val="001D1377"/>
    <w:rsid w:val="001D2C85"/>
    <w:rsid w:val="001E131E"/>
    <w:rsid w:val="001E1A18"/>
    <w:rsid w:val="002002B7"/>
    <w:rsid w:val="00202F2E"/>
    <w:rsid w:val="00213C34"/>
    <w:rsid w:val="00232B68"/>
    <w:rsid w:val="00253F20"/>
    <w:rsid w:val="00257956"/>
    <w:rsid w:val="002A5E46"/>
    <w:rsid w:val="002B3969"/>
    <w:rsid w:val="002C1608"/>
    <w:rsid w:val="002D7496"/>
    <w:rsid w:val="00314601"/>
    <w:rsid w:val="0032666A"/>
    <w:rsid w:val="00330790"/>
    <w:rsid w:val="0038799E"/>
    <w:rsid w:val="003A0195"/>
    <w:rsid w:val="003A76E4"/>
    <w:rsid w:val="003C01AF"/>
    <w:rsid w:val="003E0610"/>
    <w:rsid w:val="00406E53"/>
    <w:rsid w:val="00453B91"/>
    <w:rsid w:val="00454F25"/>
    <w:rsid w:val="004A4F88"/>
    <w:rsid w:val="004B5911"/>
    <w:rsid w:val="004C3976"/>
    <w:rsid w:val="00514F9F"/>
    <w:rsid w:val="00520FB0"/>
    <w:rsid w:val="00541FC8"/>
    <w:rsid w:val="005448BC"/>
    <w:rsid w:val="00573416"/>
    <w:rsid w:val="00592D57"/>
    <w:rsid w:val="005D1626"/>
    <w:rsid w:val="005D1DD2"/>
    <w:rsid w:val="005D5A6A"/>
    <w:rsid w:val="005F1525"/>
    <w:rsid w:val="00605013"/>
    <w:rsid w:val="00613502"/>
    <w:rsid w:val="0066173F"/>
    <w:rsid w:val="00661896"/>
    <w:rsid w:val="006747FF"/>
    <w:rsid w:val="00676C58"/>
    <w:rsid w:val="006D6A98"/>
    <w:rsid w:val="006F24E1"/>
    <w:rsid w:val="006F33BE"/>
    <w:rsid w:val="00717CFF"/>
    <w:rsid w:val="00757157"/>
    <w:rsid w:val="00771E8D"/>
    <w:rsid w:val="00774C99"/>
    <w:rsid w:val="007A5A94"/>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7602"/>
    <w:rsid w:val="00A179C1"/>
    <w:rsid w:val="00A31B95"/>
    <w:rsid w:val="00A5456F"/>
    <w:rsid w:val="00AA2072"/>
    <w:rsid w:val="00AB16A5"/>
    <w:rsid w:val="00AE5064"/>
    <w:rsid w:val="00B10016"/>
    <w:rsid w:val="00B324FA"/>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D134AA"/>
    <w:rsid w:val="00D13AFF"/>
    <w:rsid w:val="00D247C7"/>
    <w:rsid w:val="00D25CA1"/>
    <w:rsid w:val="00D5538B"/>
    <w:rsid w:val="00D57CBB"/>
    <w:rsid w:val="00D63A7C"/>
    <w:rsid w:val="00D831E7"/>
    <w:rsid w:val="00DD56E1"/>
    <w:rsid w:val="00E334C5"/>
    <w:rsid w:val="00E9534D"/>
    <w:rsid w:val="00EA577D"/>
    <w:rsid w:val="00EB792F"/>
    <w:rsid w:val="00ED6926"/>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60C24CF5"/>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paragraph" w:styleId="Heading3">
    <w:name w:val="heading 3"/>
    <w:basedOn w:val="Normal"/>
    <w:next w:val="Normal"/>
    <w:link w:val="Heading3Char"/>
    <w:uiPriority w:val="9"/>
    <w:unhideWhenUsed/>
    <w:qFormat/>
    <w:rsid w:val="00D13AFF"/>
    <w:pPr>
      <w:keepNext/>
      <w:spacing w:line="360" w:lineRule="auto"/>
      <w:jc w:val="center"/>
      <w:outlineLvl w:val="2"/>
    </w:pPr>
    <w:rPr>
      <w:rFonts w:ascii="Times New Roman" w:eastAsia="Arial Unicode MS" w:hAnsi="Times New Roman"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nhideWhenUsed/>
    <w:rsid w:val="007F33F3"/>
    <w:pPr>
      <w:tabs>
        <w:tab w:val="center" w:pos="4513"/>
        <w:tab w:val="right" w:pos="9026"/>
      </w:tabs>
    </w:pPr>
  </w:style>
  <w:style w:type="character" w:customStyle="1" w:styleId="HeaderChar">
    <w:name w:val="Header Char"/>
    <w:basedOn w:val="DefaultParagraphFont"/>
    <w:link w:val="Header"/>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 w:type="character" w:customStyle="1" w:styleId="Heading3Char">
    <w:name w:val="Heading 3 Char"/>
    <w:basedOn w:val="DefaultParagraphFont"/>
    <w:link w:val="Heading3"/>
    <w:uiPriority w:val="9"/>
    <w:rsid w:val="00D13AFF"/>
    <w:rPr>
      <w:rFonts w:ascii="Times New Roman" w:eastAsia="Arial Unicode MS" w:hAnsi="Times New Roman"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2022-10-18T11:50:00Z</dcterms:created>
  <dcterms:modified xsi:type="dcterms:W3CDTF">2022-10-18T11:50:00Z</dcterms:modified>
</cp:coreProperties>
</file>