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CD59D7" w:rsidRDefault="00192BA5" w:rsidP="00192BA5">
      <w:pPr>
        <w:pStyle w:val="NormalWeb"/>
        <w:spacing w:line="276" w:lineRule="auto"/>
        <w:jc w:val="center"/>
        <w:rPr>
          <w:rFonts w:ascii="Book Antiqua" w:hAnsi="Book Antiqua"/>
          <w:b/>
          <w:sz w:val="22"/>
          <w:szCs w:val="22"/>
        </w:rPr>
      </w:pPr>
      <w:r>
        <w:rPr>
          <w:rFonts w:ascii="Book Antiqua" w:hAnsi="Book Antiqua"/>
          <w:b/>
          <w:sz w:val="22"/>
          <w:szCs w:val="22"/>
        </w:rPr>
        <w:t>Abid Hussain</w:t>
      </w:r>
      <w:r w:rsidRPr="00CD59D7">
        <w:rPr>
          <w:rFonts w:ascii="Book Antiqua" w:hAnsi="Book Antiqua"/>
          <w:b/>
          <w:sz w:val="22"/>
          <w:szCs w:val="22"/>
        </w:rPr>
        <w:t xml:space="preserve"> – </w:t>
      </w:r>
      <w:r>
        <w:rPr>
          <w:rFonts w:ascii="Book Antiqua" w:hAnsi="Book Antiqua"/>
          <w:b/>
          <w:sz w:val="22"/>
          <w:szCs w:val="22"/>
        </w:rPr>
        <w:t xml:space="preserve">Executive </w:t>
      </w:r>
      <w:r w:rsidRPr="00CD59D7">
        <w:rPr>
          <w:rFonts w:ascii="Book Antiqua" w:hAnsi="Book Antiqua"/>
          <w:b/>
          <w:sz w:val="22"/>
          <w:szCs w:val="22"/>
        </w:rPr>
        <w:t>Director/ Head of Department</w:t>
      </w:r>
    </w:p>
    <w:p w:rsidR="007F33F3" w:rsidRPr="003E0610" w:rsidRDefault="007F33F3" w:rsidP="007F33F3">
      <w:pPr>
        <w:jc w:val="both"/>
        <w:rPr>
          <w:rFonts w:ascii="Book Antiqua" w:hAnsi="Book Antiqua" w:cs="Times New Roman"/>
          <w:b/>
          <w:bCs/>
          <w:sz w:val="22"/>
          <w:szCs w:val="22"/>
          <w:u w:val="single"/>
        </w:rPr>
      </w:pPr>
    </w:p>
    <w:p w:rsidR="00192BA5" w:rsidRPr="00CD59D7" w:rsidRDefault="007F33F3" w:rsidP="00192BA5">
      <w:pPr>
        <w:spacing w:line="276" w:lineRule="auto"/>
        <w:jc w:val="center"/>
        <w:rPr>
          <w:rFonts w:ascii="Book Antiqua" w:hAnsi="Book Antiqua"/>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to</w:t>
      </w:r>
      <w:r w:rsidR="00F6183A" w:rsidRPr="003E0610">
        <w:rPr>
          <w:rFonts w:ascii="Book Antiqua" w:hAnsi="Book Antiqua" w:cs="Times New Roman"/>
          <w:b/>
          <w:bCs/>
          <w:sz w:val="22"/>
          <w:szCs w:val="22"/>
          <w:u w:val="single"/>
        </w:rPr>
        <w:t xml:space="preserve"> </w:t>
      </w:r>
      <w:r w:rsidR="00192BA5" w:rsidRPr="00192BA5">
        <w:rPr>
          <w:rFonts w:ascii="Book Antiqua" w:hAnsi="Book Antiqua"/>
          <w:b/>
          <w:sz w:val="22"/>
          <w:szCs w:val="22"/>
          <w:u w:val="single"/>
        </w:rPr>
        <w:t>Khyber Textile Mills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192BA5" w:rsidP="00192BA5">
            <w:pPr>
              <w:spacing w:line="276" w:lineRule="auto"/>
              <w:rPr>
                <w:rFonts w:ascii="Book Antiqua" w:hAnsi="Book Antiqua"/>
                <w:sz w:val="22"/>
                <w:szCs w:val="22"/>
              </w:rPr>
            </w:pPr>
            <w:r>
              <w:rPr>
                <w:rFonts w:ascii="Book Antiqua" w:hAnsi="Book Antiqua"/>
                <w:sz w:val="22"/>
                <w:szCs w:val="22"/>
              </w:rPr>
              <w:t>September 12,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192BA5">
        <w:rPr>
          <w:rFonts w:ascii="Book Antiqua" w:hAnsi="Book Antiqua" w:cs="Times New Roman"/>
          <w:sz w:val="22"/>
          <w:szCs w:val="22"/>
        </w:rPr>
        <w:t>September 22</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192BA5">
        <w:rPr>
          <w:rFonts w:ascii="Book Antiqua" w:hAnsi="Book Antiqua"/>
          <w:sz w:val="22"/>
          <w:szCs w:val="22"/>
        </w:rPr>
        <w:t xml:space="preserve">Khyber Textile Mills </w:t>
      </w:r>
      <w:r w:rsidR="00192BA5" w:rsidRPr="004F31AE">
        <w:rPr>
          <w:rFonts w:ascii="Book Antiqua" w:hAnsi="Book Antiqua"/>
          <w:sz w:val="22"/>
          <w:szCs w:val="22"/>
        </w:rPr>
        <w:t>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192BA5">
              <w:rPr>
                <w:rFonts w:ascii="Book Antiqua" w:hAnsi="Book Antiqua" w:cs="Times New Roman"/>
                <w:sz w:val="22"/>
                <w:szCs w:val="22"/>
              </w:rPr>
              <w:t>August 19</w:t>
            </w:r>
            <w:r w:rsidR="00192BA5" w:rsidRPr="00CD59D7">
              <w:rPr>
                <w:rFonts w:ascii="Book Antiqua" w:hAnsi="Book Antiqua" w:cs="Times New Roman"/>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192BA5" w:rsidP="00991511">
            <w:pPr>
              <w:jc w:val="both"/>
              <w:rPr>
                <w:rFonts w:ascii="Book Antiqua" w:hAnsi="Book Antiqua" w:cs="Times New Roman"/>
                <w:sz w:val="22"/>
                <w:szCs w:val="22"/>
              </w:rPr>
            </w:pPr>
            <w:r>
              <w:rPr>
                <w:rFonts w:ascii="Book Antiqua" w:hAnsi="Book Antiqua"/>
                <w:sz w:val="22"/>
                <w:szCs w:val="22"/>
              </w:rPr>
              <w:t xml:space="preserve">Khyber Textile Mills </w:t>
            </w:r>
            <w:r w:rsidRPr="004F31AE">
              <w:rPr>
                <w:rFonts w:ascii="Book Antiqua" w:hAnsi="Book Antiqua"/>
                <w:sz w:val="22"/>
                <w:szCs w:val="22"/>
              </w:rPr>
              <w:t>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Individual</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3E0610"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B36248" w:rsidRPr="004F31AE">
              <w:rPr>
                <w:rFonts w:ascii="Book Antiqua" w:hAnsi="Book Antiqua"/>
                <w:sz w:val="22"/>
                <w:szCs w:val="22"/>
              </w:rPr>
              <w:t xml:space="preserve">Regulation 6 </w:t>
            </w:r>
            <w:r w:rsidR="00B36248">
              <w:rPr>
                <w:rFonts w:ascii="Book Antiqua" w:hAnsi="Book Antiqua"/>
                <w:sz w:val="22"/>
                <w:szCs w:val="22"/>
              </w:rPr>
              <w:t xml:space="preserve">(1) </w:t>
            </w:r>
            <w:r w:rsidR="00B36248" w:rsidRPr="004F31AE">
              <w:rPr>
                <w:rFonts w:ascii="Book Antiqua" w:hAnsi="Book Antiqua"/>
                <w:sz w:val="22"/>
                <w:szCs w:val="22"/>
              </w:rPr>
              <w:t xml:space="preserve">and Regulation </w:t>
            </w:r>
            <w:r w:rsidR="00B36248">
              <w:rPr>
                <w:rFonts w:ascii="Book Antiqua" w:hAnsi="Book Antiqua"/>
                <w:sz w:val="22"/>
                <w:szCs w:val="22"/>
              </w:rPr>
              <w:t>36 (1)</w:t>
            </w:r>
            <w:r w:rsidR="00B36248" w:rsidRPr="004F31AE">
              <w:rPr>
                <w:rFonts w:ascii="Book Antiqua" w:hAnsi="Book Antiqua"/>
                <w:sz w:val="22"/>
                <w:szCs w:val="22"/>
              </w:rPr>
              <w:t xml:space="preserve"> of the Listed Companies (Code of Corporate Governance) Regulations, 2019</w:t>
            </w:r>
            <w:r w:rsidR="00B36248">
              <w:rPr>
                <w:rFonts w:ascii="Book Antiqua" w:hAnsi="Book Antiqua"/>
                <w:sz w:val="22"/>
                <w:szCs w:val="22"/>
              </w:rPr>
              <w:t xml:space="preserve"> </w:t>
            </w:r>
            <w:r w:rsidR="00B36248" w:rsidRPr="004F31AE">
              <w:rPr>
                <w:rFonts w:ascii="Book Antiqua" w:hAnsi="Book Antiqua"/>
                <w:sz w:val="22"/>
                <w:szCs w:val="22"/>
              </w:rPr>
              <w:t>read with Regulation 37 thereof and Section 512 of the Companies Act, 2017</w:t>
            </w:r>
            <w:r w:rsidR="00B36248">
              <w:rPr>
                <w:rFonts w:ascii="Book Antiqua" w:hAnsi="Book Antiqua"/>
                <w:sz w:val="22"/>
                <w:szCs w:val="22"/>
              </w:rPr>
              <w:t xml:space="preserve"> </w:t>
            </w:r>
          </w:p>
          <w:p w:rsidR="00B36248" w:rsidRPr="003E0610" w:rsidRDefault="00B36248" w:rsidP="003E0610">
            <w:pPr>
              <w:jc w:val="both"/>
              <w:rPr>
                <w:rFonts w:ascii="Book Antiqua" w:hAnsi="Book Antiqua"/>
                <w:sz w:val="22"/>
                <w:szCs w:val="22"/>
              </w:rPr>
            </w:pPr>
          </w:p>
          <w:p w:rsidR="003E0610" w:rsidRPr="003E0610" w:rsidRDefault="00192BA5" w:rsidP="00FE6A81">
            <w:pPr>
              <w:pStyle w:val="BodyText"/>
              <w:jc w:val="both"/>
              <w:rPr>
                <w:rFonts w:ascii="Book Antiqua" w:hAnsi="Book Antiqua" w:cs="Times New Roman"/>
                <w:sz w:val="22"/>
                <w:szCs w:val="22"/>
              </w:rPr>
            </w:pPr>
            <w:r w:rsidRPr="00192BA5">
              <w:rPr>
                <w:rFonts w:ascii="Book Antiqua" w:hAnsi="Book Antiqua"/>
                <w:sz w:val="22"/>
              </w:rPr>
              <w:t xml:space="preserve">Brief </w:t>
            </w:r>
            <w:r w:rsidR="00B36248" w:rsidRPr="00B36248">
              <w:rPr>
                <w:rFonts w:ascii="Book Antiqua" w:hAnsi="Book Antiqua"/>
                <w:sz w:val="22"/>
              </w:rPr>
              <w:t>Facts of the case are that the Company held election of directors in its annual general meeting (</w:t>
            </w:r>
            <w:r w:rsidR="00B36248" w:rsidRPr="00B36248">
              <w:rPr>
                <w:rFonts w:ascii="Book Antiqua" w:hAnsi="Book Antiqua"/>
                <w:b/>
                <w:sz w:val="22"/>
              </w:rPr>
              <w:t>the</w:t>
            </w:r>
            <w:r w:rsidR="00B36248" w:rsidRPr="00B36248">
              <w:rPr>
                <w:rFonts w:ascii="Book Antiqua" w:hAnsi="Book Antiqua"/>
                <w:sz w:val="22"/>
              </w:rPr>
              <w:t xml:space="preserve"> </w:t>
            </w:r>
            <w:r w:rsidR="00B36248" w:rsidRPr="00B36248">
              <w:rPr>
                <w:rFonts w:ascii="Book Antiqua" w:hAnsi="Book Antiqua"/>
                <w:b/>
                <w:sz w:val="22"/>
              </w:rPr>
              <w:t>AGM</w:t>
            </w:r>
            <w:r w:rsidR="00B36248" w:rsidRPr="00B36248">
              <w:rPr>
                <w:rFonts w:ascii="Book Antiqua" w:hAnsi="Book Antiqua"/>
                <w:sz w:val="22"/>
              </w:rPr>
              <w:t xml:space="preserve">) on October 25, 2019 wherein seven directors were elected including one independent director namely Mr. </w:t>
            </w:r>
            <w:r w:rsidR="00465F23">
              <w:rPr>
                <w:rFonts w:ascii="Book Antiqua" w:hAnsi="Book Antiqua"/>
                <w:sz w:val="22"/>
              </w:rPr>
              <w:t>*****</w:t>
            </w:r>
            <w:r w:rsidR="00B36248" w:rsidRPr="00B36248">
              <w:rPr>
                <w:rFonts w:ascii="Book Antiqua" w:hAnsi="Book Antiqua"/>
                <w:sz w:val="22"/>
              </w:rPr>
              <w:t xml:space="preserve"> as against the requirement of appointing at least two (2) or one third members of board, whichever is higher as independent directors in terms of regulation 6 of the Regulations. Moreover review of the audited financial statements for the periods ended June 30, 2019, June 30, 2020 and June 30, 2021 (</w:t>
            </w:r>
            <w:r w:rsidR="00B36248" w:rsidRPr="00B36248">
              <w:rPr>
                <w:rFonts w:ascii="Book Antiqua" w:hAnsi="Book Antiqua"/>
                <w:b/>
                <w:sz w:val="22"/>
              </w:rPr>
              <w:t>the Accounts</w:t>
            </w:r>
            <w:r w:rsidR="00B36248" w:rsidRPr="00B36248">
              <w:rPr>
                <w:rFonts w:ascii="Book Antiqua" w:hAnsi="Book Antiqua"/>
                <w:sz w:val="22"/>
              </w:rPr>
              <w:t>) transpired that despite having only one independent director on its Board, the Company in its Statement of Compliance with the Regulations for the year ended June 30, 2021 stated that it has complied with all mandatory provisions of the Regulations thus violating the provisions of regulation 36(1) of the Regulations.</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B36248" w:rsidRPr="00380BCD" w:rsidRDefault="00B36248" w:rsidP="00B36248">
            <w:pPr>
              <w:autoSpaceDE w:val="0"/>
              <w:autoSpaceDN w:val="0"/>
              <w:adjustRightInd w:val="0"/>
              <w:spacing w:line="276" w:lineRule="auto"/>
              <w:jc w:val="both"/>
              <w:rPr>
                <w:rFonts w:ascii="Book Antiqua" w:eastAsia="Calibri" w:hAnsi="Book Antiqua"/>
                <w:sz w:val="22"/>
                <w:szCs w:val="22"/>
              </w:rPr>
            </w:pPr>
            <w:r w:rsidRPr="00380BCD">
              <w:rPr>
                <w:rFonts w:ascii="Book Antiqua" w:eastAsia="Calibri" w:hAnsi="Book Antiqua"/>
                <w:sz w:val="22"/>
                <w:szCs w:val="22"/>
              </w:rPr>
              <w:lastRenderedPageBreak/>
              <w:t xml:space="preserve">I have gone through the facts of case and considered the verbal submissions of the Representative in light of the relevant provisions of the law and state that the Respondents have acknowledged non-compliance of regulation 6 &amp; </w:t>
            </w:r>
            <w:r>
              <w:rPr>
                <w:rFonts w:ascii="Book Antiqua" w:eastAsia="Calibri" w:hAnsi="Book Antiqua"/>
                <w:sz w:val="22"/>
                <w:szCs w:val="22"/>
              </w:rPr>
              <w:t>36</w:t>
            </w:r>
            <w:r w:rsidRPr="00380BCD">
              <w:rPr>
                <w:rFonts w:ascii="Book Antiqua" w:eastAsia="Calibri" w:hAnsi="Book Antiqua"/>
                <w:sz w:val="22"/>
                <w:szCs w:val="22"/>
              </w:rPr>
              <w:t xml:space="preserve"> of the Regulations and, therefore, are liable for penalty under regulation 37 of the Regulations </w:t>
            </w:r>
            <w:r>
              <w:rPr>
                <w:rFonts w:ascii="Book Antiqua" w:eastAsia="Calibri" w:hAnsi="Book Antiqua"/>
                <w:sz w:val="22"/>
                <w:szCs w:val="22"/>
              </w:rPr>
              <w:t xml:space="preserve">read with </w:t>
            </w:r>
            <w:r w:rsidRPr="00380BCD">
              <w:rPr>
                <w:rFonts w:ascii="Book Antiqua" w:eastAsia="Calibri" w:hAnsi="Book Antiqua"/>
                <w:sz w:val="22"/>
                <w:szCs w:val="22"/>
              </w:rPr>
              <w:t>Section 512 of the Act.</w:t>
            </w:r>
          </w:p>
          <w:p w:rsidR="00B36248" w:rsidRPr="004F31AE" w:rsidRDefault="00B36248" w:rsidP="00B36248">
            <w:pPr>
              <w:pStyle w:val="ListParagraph"/>
              <w:widowControl w:val="0"/>
              <w:autoSpaceDE w:val="0"/>
              <w:autoSpaceDN w:val="0"/>
              <w:adjustRightInd w:val="0"/>
              <w:spacing w:line="276" w:lineRule="auto"/>
              <w:ind w:left="0" w:right="-45"/>
              <w:jc w:val="both"/>
              <w:rPr>
                <w:rFonts w:ascii="Book Antiqua" w:eastAsia="Calibri" w:hAnsi="Book Antiqua"/>
                <w:sz w:val="22"/>
                <w:szCs w:val="22"/>
                <w:highlight w:val="yellow"/>
              </w:rPr>
            </w:pPr>
          </w:p>
          <w:p w:rsidR="00B36248" w:rsidRPr="00380BCD" w:rsidRDefault="00B36248" w:rsidP="00B36248">
            <w:pPr>
              <w:pStyle w:val="ListParagraph"/>
              <w:widowControl w:val="0"/>
              <w:autoSpaceDE w:val="0"/>
              <w:autoSpaceDN w:val="0"/>
              <w:adjustRightInd w:val="0"/>
              <w:spacing w:line="276" w:lineRule="auto"/>
              <w:ind w:left="0" w:right="-45"/>
              <w:jc w:val="both"/>
              <w:rPr>
                <w:rFonts w:ascii="Book Antiqua" w:hAnsi="Book Antiqua"/>
                <w:sz w:val="22"/>
                <w:szCs w:val="22"/>
              </w:rPr>
            </w:pPr>
            <w:bookmarkStart w:id="0" w:name="_Hlk109382103"/>
            <w:r w:rsidRPr="00380BCD">
              <w:rPr>
                <w:rFonts w:ascii="Book Antiqua" w:hAnsi="Book Antiqua"/>
                <w:sz w:val="22"/>
                <w:szCs w:val="22"/>
              </w:rPr>
              <w:t>Keeping in view the above,</w:t>
            </w:r>
            <w:r w:rsidRPr="00380BCD">
              <w:rPr>
                <w:rFonts w:ascii="Book Antiqua" w:hAnsi="Book Antiqua"/>
                <w:color w:val="000000" w:themeColor="text1"/>
                <w:sz w:val="22"/>
                <w:szCs w:val="22"/>
              </w:rPr>
              <w:t xml:space="preserve"> I, in exercise of the powers conferred under regulation 37 of the Regulations </w:t>
            </w:r>
            <w:r>
              <w:rPr>
                <w:rFonts w:ascii="Book Antiqua" w:hAnsi="Book Antiqua"/>
                <w:color w:val="000000" w:themeColor="text1"/>
                <w:sz w:val="22"/>
                <w:szCs w:val="22"/>
              </w:rPr>
              <w:t xml:space="preserve">read with </w:t>
            </w:r>
            <w:r w:rsidRPr="00380BCD">
              <w:rPr>
                <w:rFonts w:ascii="Book Antiqua" w:hAnsi="Book Antiqua"/>
                <w:color w:val="000000" w:themeColor="text1"/>
                <w:sz w:val="22"/>
                <w:szCs w:val="22"/>
              </w:rPr>
              <w:t xml:space="preserve">Section 512 of the Act, hereby </w:t>
            </w:r>
            <w:r w:rsidRPr="00380BCD">
              <w:rPr>
                <w:rFonts w:ascii="Book Antiqua" w:eastAsia="Calibri" w:hAnsi="Book Antiqua"/>
                <w:color w:val="000000" w:themeColor="text1"/>
                <w:sz w:val="22"/>
                <w:szCs w:val="22"/>
              </w:rPr>
              <w:t xml:space="preserve">impose penalty of </w:t>
            </w:r>
            <w:r w:rsidRPr="00380BCD">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u w:val="single"/>
              </w:rPr>
              <w:t>50,000</w:t>
            </w:r>
            <w:r w:rsidRPr="00380BCD">
              <w:rPr>
                <w:rFonts w:ascii="Book Antiqua" w:eastAsia="Calibri" w:hAnsi="Book Antiqua"/>
                <w:b/>
                <w:color w:val="000000" w:themeColor="text1"/>
                <w:sz w:val="22"/>
                <w:szCs w:val="22"/>
              </w:rPr>
              <w:t>/- (</w:t>
            </w:r>
            <w:r w:rsidRPr="00C603D6">
              <w:rPr>
                <w:rFonts w:ascii="Book Antiqua" w:eastAsia="Calibri" w:hAnsi="Book Antiqua"/>
                <w:b/>
                <w:color w:val="000000" w:themeColor="text1"/>
                <w:sz w:val="22"/>
                <w:szCs w:val="22"/>
                <w:u w:val="single"/>
              </w:rPr>
              <w:t xml:space="preserve">Rupees </w:t>
            </w:r>
            <w:r>
              <w:rPr>
                <w:rFonts w:ascii="Book Antiqua" w:eastAsia="Calibri" w:hAnsi="Book Antiqua"/>
                <w:b/>
                <w:color w:val="000000" w:themeColor="text1"/>
                <w:sz w:val="22"/>
                <w:szCs w:val="22"/>
                <w:u w:val="single"/>
              </w:rPr>
              <w:t>Fifty Thousand</w:t>
            </w:r>
            <w:r w:rsidRPr="00380BCD">
              <w:rPr>
                <w:rFonts w:ascii="Book Antiqua" w:eastAsia="Calibri" w:hAnsi="Book Antiqua"/>
                <w:b/>
                <w:color w:val="000000" w:themeColor="text1"/>
                <w:sz w:val="22"/>
                <w:szCs w:val="22"/>
              </w:rPr>
              <w:t xml:space="preserve"> </w:t>
            </w:r>
            <w:r w:rsidRPr="00C603D6">
              <w:rPr>
                <w:rFonts w:ascii="Book Antiqua" w:eastAsia="Calibri" w:hAnsi="Book Antiqua"/>
                <w:b/>
                <w:color w:val="000000" w:themeColor="text1"/>
                <w:sz w:val="22"/>
                <w:szCs w:val="22"/>
                <w:u w:val="single"/>
              </w:rPr>
              <w:t>only</w:t>
            </w:r>
            <w:r w:rsidRPr="00380BCD">
              <w:rPr>
                <w:rFonts w:ascii="Book Antiqua" w:eastAsia="Calibri" w:hAnsi="Book Antiqua"/>
                <w:color w:val="000000" w:themeColor="text1"/>
                <w:sz w:val="22"/>
                <w:szCs w:val="22"/>
              </w:rPr>
              <w:t xml:space="preserve">) on the </w:t>
            </w:r>
            <w:r>
              <w:rPr>
                <w:rFonts w:ascii="Book Antiqua" w:eastAsia="Calibri" w:hAnsi="Book Antiqua"/>
                <w:color w:val="000000" w:themeColor="text1"/>
                <w:sz w:val="22"/>
                <w:szCs w:val="22"/>
              </w:rPr>
              <w:t xml:space="preserve">Company and </w:t>
            </w:r>
            <w:r>
              <w:rPr>
                <w:rFonts w:ascii="Book Antiqua" w:hAnsi="Book Antiqua"/>
                <w:sz w:val="22"/>
                <w:szCs w:val="22"/>
              </w:rPr>
              <w:t>warn all the remaining Respondents to ensure compliance with the relevant provision of the law in future, in letter and spirit</w:t>
            </w:r>
            <w:bookmarkEnd w:id="0"/>
            <w:r>
              <w:rPr>
                <w:rFonts w:ascii="Book Antiqua" w:hAnsi="Book Antiqua"/>
                <w:color w:val="000000" w:themeColor="text1"/>
                <w:sz w:val="22"/>
                <w:szCs w:val="22"/>
              </w:rPr>
              <w:t>.</w:t>
            </w:r>
          </w:p>
          <w:p w:rsidR="00192BA5" w:rsidRDefault="00192BA5" w:rsidP="005D1DD2">
            <w:pPr>
              <w:pStyle w:val="ListParagraph"/>
              <w:ind w:left="0"/>
              <w:contextualSpacing w:val="0"/>
              <w:jc w:val="both"/>
              <w:rPr>
                <w:rFonts w:ascii="Book Antiqua" w:hAnsi="Book Antiqua" w:cs="Times New Roman"/>
                <w:sz w:val="22"/>
                <w:szCs w:val="22"/>
              </w:rPr>
            </w:pPr>
          </w:p>
          <w:p w:rsidR="00213C34" w:rsidRPr="003E0610" w:rsidRDefault="00465F23" w:rsidP="00465F23">
            <w:pPr>
              <w:spacing w:line="276" w:lineRule="auto"/>
              <w:jc w:val="both"/>
              <w:rPr>
                <w:rFonts w:ascii="Book Antiqua" w:hAnsi="Book Antiqua" w:cs="Times New Roman"/>
                <w:sz w:val="22"/>
                <w:szCs w:val="22"/>
              </w:rPr>
            </w:pPr>
            <w:r w:rsidRPr="00380BCD">
              <w:rPr>
                <w:rFonts w:ascii="Book Antiqua" w:hAnsi="Book Antiqua"/>
                <w:sz w:val="22"/>
                <w:szCs w:val="22"/>
              </w:rPr>
              <w:t>Nothing in this Order may be deemed to prejudice the operation of any provision of the Act providing for imposition of penalties in respect of any defa</w:t>
            </w:r>
            <w:bookmarkStart w:id="1" w:name="_GoBack"/>
            <w:bookmarkEnd w:id="1"/>
            <w:r w:rsidRPr="00380BCD">
              <w:rPr>
                <w:rFonts w:ascii="Book Antiqua" w:hAnsi="Book Antiqua"/>
                <w:sz w:val="22"/>
                <w:szCs w:val="22"/>
              </w:rPr>
              <w:t>ult, omission or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B36248" w:rsidP="00F604C5">
            <w:pPr>
              <w:rPr>
                <w:rFonts w:ascii="Book Antiqua" w:hAnsi="Book Antiqua" w:cs="Times New Roman"/>
                <w:sz w:val="22"/>
                <w:szCs w:val="22"/>
              </w:rPr>
            </w:pPr>
            <w:r w:rsidRPr="00380BCD">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u w:val="single"/>
              </w:rPr>
              <w:t>50,000</w:t>
            </w:r>
            <w:r w:rsidRPr="00380BCD">
              <w:rPr>
                <w:rFonts w:ascii="Book Antiqua" w:eastAsia="Calibri" w:hAnsi="Book Antiqua"/>
                <w:b/>
                <w:color w:val="000000" w:themeColor="text1"/>
                <w:sz w:val="22"/>
                <w:szCs w:val="22"/>
              </w:rPr>
              <w:t>/- (</w:t>
            </w:r>
            <w:r w:rsidRPr="00C603D6">
              <w:rPr>
                <w:rFonts w:ascii="Book Antiqua" w:eastAsia="Calibri" w:hAnsi="Book Antiqua"/>
                <w:b/>
                <w:color w:val="000000" w:themeColor="text1"/>
                <w:sz w:val="22"/>
                <w:szCs w:val="22"/>
                <w:u w:val="single"/>
              </w:rPr>
              <w:t xml:space="preserve">Rupees </w:t>
            </w:r>
            <w:r>
              <w:rPr>
                <w:rFonts w:ascii="Book Antiqua" w:eastAsia="Calibri" w:hAnsi="Book Antiqua"/>
                <w:b/>
                <w:color w:val="000000" w:themeColor="text1"/>
                <w:sz w:val="22"/>
                <w:szCs w:val="22"/>
                <w:u w:val="single"/>
              </w:rPr>
              <w:t>Fifty Thousand</w:t>
            </w:r>
            <w:r w:rsidRPr="00380BCD">
              <w:rPr>
                <w:rFonts w:ascii="Book Antiqua" w:eastAsia="Calibri" w:hAnsi="Book Antiqua"/>
                <w:b/>
                <w:color w:val="000000" w:themeColor="text1"/>
                <w:sz w:val="22"/>
                <w:szCs w:val="22"/>
              </w:rPr>
              <w:t xml:space="preserve"> </w:t>
            </w:r>
            <w:r w:rsidRPr="00C603D6">
              <w:rPr>
                <w:rFonts w:ascii="Book Antiqua" w:eastAsia="Calibri" w:hAnsi="Book Antiqua"/>
                <w:b/>
                <w:color w:val="000000" w:themeColor="text1"/>
                <w:sz w:val="22"/>
                <w:szCs w:val="22"/>
                <w:u w:val="single"/>
              </w:rPr>
              <w:t>only</w:t>
            </w:r>
            <w:r w:rsidRPr="00380BCD">
              <w:rPr>
                <w:rFonts w:ascii="Book Antiqua" w:eastAsia="Calibri" w:hAnsi="Book Antiqua"/>
                <w:color w:val="000000" w:themeColor="text1"/>
                <w:sz w:val="22"/>
                <w:szCs w:val="22"/>
              </w:rPr>
              <w:t>)</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4A5" w:rsidRDefault="000D14A5" w:rsidP="007F33F3">
      <w:r>
        <w:separator/>
      </w:r>
    </w:p>
  </w:endnote>
  <w:endnote w:type="continuationSeparator" w:id="0">
    <w:p w:rsidR="000D14A5" w:rsidRDefault="000D14A5"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4A5" w:rsidRDefault="000D14A5" w:rsidP="007F33F3">
      <w:r>
        <w:separator/>
      </w:r>
    </w:p>
  </w:footnote>
  <w:footnote w:type="continuationSeparator" w:id="0">
    <w:p w:rsidR="000D14A5" w:rsidRDefault="000D14A5"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D14A5"/>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65F23"/>
    <w:rsid w:val="004A4F88"/>
    <w:rsid w:val="004B5911"/>
    <w:rsid w:val="004C3976"/>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285D"/>
    <w:rsid w:val="009F7602"/>
    <w:rsid w:val="00A31B95"/>
    <w:rsid w:val="00A5456F"/>
    <w:rsid w:val="00A60E42"/>
    <w:rsid w:val="00AA2072"/>
    <w:rsid w:val="00AB16A5"/>
    <w:rsid w:val="00AE5064"/>
    <w:rsid w:val="00B324FA"/>
    <w:rsid w:val="00B36248"/>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6FCB93AB"/>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2022-10-17T11:50:00Z</dcterms:created>
  <dcterms:modified xsi:type="dcterms:W3CDTF">2022-10-17T11:50:00Z</dcterms:modified>
</cp:coreProperties>
</file>