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7F33F3" w:rsidRDefault="007D5BC8" w:rsidP="007D5BC8">
      <w:pPr>
        <w:jc w:val="center"/>
        <w:rPr>
          <w:rFonts w:ascii="Book Antiqua" w:eastAsia="Arial Unicode MS" w:hAnsi="Book Antiqua"/>
          <w:b/>
          <w:bCs/>
          <w:color w:val="000000"/>
          <w:sz w:val="22"/>
          <w:szCs w:val="22"/>
        </w:rPr>
      </w:pPr>
      <w:r w:rsidRPr="00865047">
        <w:rPr>
          <w:rFonts w:ascii="Book Antiqua" w:eastAsia="Arial Unicode MS" w:hAnsi="Book Antiqua"/>
          <w:b/>
          <w:bCs/>
          <w:color w:val="000000"/>
          <w:sz w:val="22"/>
          <w:szCs w:val="22"/>
        </w:rPr>
        <w:t>Amir M. Khan Afridi – Director/ Head of Department</w:t>
      </w:r>
    </w:p>
    <w:p w:rsidR="007D5BC8" w:rsidRPr="003E0610" w:rsidRDefault="007D5BC8" w:rsidP="007D5BC8">
      <w:pPr>
        <w:jc w:val="center"/>
        <w:rPr>
          <w:rFonts w:ascii="Book Antiqua" w:hAnsi="Book Antiqua" w:cs="Times New Roman"/>
          <w:b/>
          <w:bCs/>
          <w:sz w:val="22"/>
          <w:szCs w:val="22"/>
          <w:u w:val="single"/>
        </w:rPr>
      </w:pPr>
    </w:p>
    <w:p w:rsidR="00192BA5" w:rsidRPr="007D5BC8" w:rsidRDefault="007F33F3" w:rsidP="007D5BC8">
      <w:pPr>
        <w:pStyle w:val="NormalWeb"/>
        <w:spacing w:line="360" w:lineRule="auto"/>
        <w:jc w:val="center"/>
        <w:rPr>
          <w:rFonts w:ascii="Book Antiqua" w:hAnsi="Book Antiqua"/>
          <w:b/>
          <w:bCs/>
          <w:sz w:val="22"/>
          <w:szCs w:val="22"/>
          <w:u w:val="single"/>
        </w:rPr>
      </w:pPr>
      <w:r w:rsidRPr="003E0610">
        <w:rPr>
          <w:rFonts w:ascii="Book Antiqua" w:hAnsi="Book Antiqua"/>
          <w:b/>
          <w:bCs/>
          <w:sz w:val="22"/>
          <w:szCs w:val="22"/>
          <w:u w:val="single"/>
        </w:rPr>
        <w:t>In the matter of</w:t>
      </w:r>
      <w:r w:rsidR="0088646B" w:rsidRPr="003E0610">
        <w:rPr>
          <w:rFonts w:ascii="Book Antiqua" w:hAnsi="Book Antiqua"/>
          <w:b/>
          <w:bCs/>
          <w:sz w:val="22"/>
          <w:szCs w:val="22"/>
          <w:u w:val="single"/>
        </w:rPr>
        <w:t xml:space="preserve"> Show Cause Notice issued to</w:t>
      </w:r>
      <w:r w:rsidR="00F6183A" w:rsidRPr="003E0610">
        <w:rPr>
          <w:rFonts w:ascii="Book Antiqua" w:hAnsi="Book Antiqua"/>
          <w:b/>
          <w:bCs/>
          <w:sz w:val="22"/>
          <w:szCs w:val="22"/>
          <w:u w:val="single"/>
        </w:rPr>
        <w:t xml:space="preserve"> </w:t>
      </w:r>
      <w:proofErr w:type="spellStart"/>
      <w:r w:rsidR="007D5BC8" w:rsidRPr="00E902B2">
        <w:rPr>
          <w:rFonts w:ascii="Book Antiqua" w:hAnsi="Book Antiqua"/>
          <w:b/>
          <w:sz w:val="22"/>
          <w:szCs w:val="22"/>
          <w:u w:val="single"/>
        </w:rPr>
        <w:t>Tandlianwala</w:t>
      </w:r>
      <w:proofErr w:type="spellEnd"/>
      <w:r w:rsidR="007D5BC8" w:rsidRPr="00E902B2">
        <w:rPr>
          <w:rFonts w:ascii="Book Antiqua" w:hAnsi="Book Antiqua"/>
          <w:b/>
          <w:sz w:val="22"/>
          <w:szCs w:val="22"/>
          <w:u w:val="single"/>
        </w:rPr>
        <w:t xml:space="preserve"> Sugar Mills Limited</w:t>
      </w:r>
    </w:p>
    <w:p w:rsidR="007F33F3" w:rsidRPr="003E0610" w:rsidRDefault="007F33F3" w:rsidP="007F33F3">
      <w:pPr>
        <w:tabs>
          <w:tab w:val="left" w:pos="1080"/>
        </w:tabs>
        <w:jc w:val="center"/>
        <w:rPr>
          <w:rFonts w:ascii="Book Antiqua" w:hAnsi="Book Antiqua" w:cs="Times New Roman"/>
          <w:b/>
          <w:bCs/>
          <w:sz w:val="22"/>
          <w:szCs w:val="22"/>
          <w:u w:val="single"/>
        </w:rPr>
      </w:pPr>
    </w:p>
    <w:p w:rsidR="007F33F3" w:rsidRPr="003E0610"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7D5BC8" w:rsidP="00192BA5">
            <w:pPr>
              <w:spacing w:line="276" w:lineRule="auto"/>
              <w:rPr>
                <w:rFonts w:ascii="Book Antiqua" w:hAnsi="Book Antiqua"/>
                <w:sz w:val="22"/>
                <w:szCs w:val="22"/>
              </w:rPr>
            </w:pPr>
            <w:r w:rsidRPr="00865047">
              <w:rPr>
                <w:rFonts w:ascii="Book Antiqua" w:hAnsi="Book Antiqua"/>
                <w:sz w:val="22"/>
                <w:szCs w:val="22"/>
              </w:rPr>
              <w:t>October 21, 2021; December 08, 2021</w:t>
            </w: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7D5BC8">
        <w:rPr>
          <w:rFonts w:ascii="Book Antiqua" w:hAnsi="Book Antiqua" w:cs="Times New Roman"/>
          <w:sz w:val="22"/>
          <w:szCs w:val="22"/>
        </w:rPr>
        <w:t>July</w:t>
      </w:r>
      <w:r w:rsidR="00192BA5">
        <w:rPr>
          <w:rFonts w:ascii="Book Antiqua" w:hAnsi="Book Antiqua" w:cs="Times New Roman"/>
          <w:sz w:val="22"/>
          <w:szCs w:val="22"/>
        </w:rPr>
        <w:t xml:space="preserve"> 2</w:t>
      </w:r>
      <w:r w:rsidR="007D5BC8">
        <w:rPr>
          <w:rFonts w:ascii="Book Antiqua" w:hAnsi="Book Antiqua" w:cs="Times New Roman"/>
          <w:sz w:val="22"/>
          <w:szCs w:val="22"/>
        </w:rPr>
        <w:t>0</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was passed by Director/Head of Department (Adjudication-I) in the matter of</w:t>
      </w:r>
      <w:r w:rsidR="009043D6" w:rsidRPr="003E0610">
        <w:rPr>
          <w:rFonts w:ascii="Book Antiqua" w:hAnsi="Book Antiqua" w:cs="Times New Roman"/>
          <w:sz w:val="22"/>
          <w:szCs w:val="22"/>
        </w:rPr>
        <w:t xml:space="preserve"> </w:t>
      </w:r>
      <w:proofErr w:type="spellStart"/>
      <w:r w:rsidR="007D5BC8" w:rsidRPr="00865047">
        <w:rPr>
          <w:rFonts w:ascii="Book Antiqua" w:hAnsi="Book Antiqua"/>
          <w:color w:val="000000"/>
          <w:sz w:val="22"/>
          <w:szCs w:val="22"/>
        </w:rPr>
        <w:t>Tandlianwala</w:t>
      </w:r>
      <w:proofErr w:type="spellEnd"/>
      <w:r w:rsidR="007D5BC8" w:rsidRPr="00865047">
        <w:rPr>
          <w:rFonts w:ascii="Book Antiqua" w:hAnsi="Book Antiqua"/>
          <w:color w:val="000000"/>
          <w:sz w:val="22"/>
          <w:szCs w:val="22"/>
        </w:rPr>
        <w:t xml:space="preserve"> Sugar Mills Limited</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F33F3" w:rsidP="00991511">
            <w:pPr>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7D5BC8" w:rsidRPr="00865047">
              <w:rPr>
                <w:rFonts w:ascii="Book Antiqua" w:hAnsi="Book Antiqua" w:cs="Times New Roman"/>
                <w:sz w:val="22"/>
                <w:szCs w:val="22"/>
              </w:rPr>
              <w:t>May 18, 2021</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D5BC8" w:rsidP="00991511">
            <w:pPr>
              <w:jc w:val="both"/>
              <w:rPr>
                <w:rFonts w:ascii="Book Antiqua" w:hAnsi="Book Antiqua" w:cs="Times New Roman"/>
                <w:sz w:val="22"/>
                <w:szCs w:val="22"/>
              </w:rPr>
            </w:pPr>
            <w:proofErr w:type="spellStart"/>
            <w:r w:rsidRPr="00865047">
              <w:rPr>
                <w:rFonts w:ascii="Book Antiqua" w:hAnsi="Book Antiqua"/>
                <w:color w:val="000000"/>
                <w:sz w:val="22"/>
                <w:szCs w:val="22"/>
              </w:rPr>
              <w:t>Tandlianwala</w:t>
            </w:r>
            <w:proofErr w:type="spellEnd"/>
            <w:r w:rsidRPr="00865047">
              <w:rPr>
                <w:rFonts w:ascii="Book Antiqua" w:hAnsi="Book Antiqua"/>
                <w:color w:val="000000"/>
                <w:sz w:val="22"/>
                <w:szCs w:val="22"/>
              </w:rPr>
              <w:t xml:space="preserve"> Sugar Mills Limited</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 xml:space="preserve">Name of Individual </w:t>
            </w:r>
          </w:p>
        </w:tc>
        <w:tc>
          <w:tcPr>
            <w:tcW w:w="6660" w:type="dxa"/>
          </w:tcPr>
          <w:p w:rsidR="00FD6E1D" w:rsidRPr="003E0610" w:rsidRDefault="00FD6E1D" w:rsidP="00FD6E1D">
            <w:pPr>
              <w:jc w:val="both"/>
              <w:rPr>
                <w:rFonts w:ascii="Book Antiqua" w:hAnsi="Book Antiqua" w:cs="Times New Roman"/>
                <w:sz w:val="22"/>
                <w:szCs w:val="22"/>
              </w:rPr>
            </w:pPr>
            <w:r w:rsidRPr="003E0610">
              <w:rPr>
                <w:rFonts w:ascii="Book Antiqua" w:hAnsi="Book Antiqua" w:cs="Times New Roman"/>
                <w:sz w:val="22"/>
                <w:szCs w:val="22"/>
              </w:rPr>
              <w:t xml:space="preserve">The proceedings were initiated against </w:t>
            </w:r>
            <w:r w:rsidR="007D5BC8">
              <w:rPr>
                <w:rFonts w:ascii="Book Antiqua" w:hAnsi="Book Antiqua" w:cs="Times New Roman"/>
                <w:sz w:val="22"/>
                <w:szCs w:val="22"/>
              </w:rPr>
              <w:t>the company and its</w:t>
            </w:r>
            <w:r w:rsidR="00834E94" w:rsidRPr="003E0610">
              <w:rPr>
                <w:rFonts w:ascii="Book Antiqua" w:hAnsi="Book Antiqua" w:cs="Times New Roman"/>
                <w:sz w:val="22"/>
                <w:szCs w:val="22"/>
              </w:rPr>
              <w:t xml:space="preserve"> board of directors</w:t>
            </w:r>
            <w:r w:rsidR="007D5BC8">
              <w:rPr>
                <w:rFonts w:ascii="Book Antiqua" w:hAnsi="Book Antiqua" w:cs="Times New Roman"/>
                <w:sz w:val="22"/>
                <w:szCs w:val="22"/>
              </w:rPr>
              <w:t>.</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6660" w:type="dxa"/>
          </w:tcPr>
          <w:p w:rsidR="00B36248" w:rsidRDefault="00FD6E1D" w:rsidP="003E0610">
            <w:pPr>
              <w:jc w:val="both"/>
              <w:rPr>
                <w:rFonts w:ascii="Book Antiqua" w:hAnsi="Book Antiqua"/>
                <w:color w:val="000000"/>
                <w:sz w:val="22"/>
                <w:szCs w:val="22"/>
              </w:rPr>
            </w:pPr>
            <w:r w:rsidRPr="003E0610">
              <w:rPr>
                <w:rFonts w:ascii="Book Antiqua" w:hAnsi="Book Antiqua" w:cs="Times New Roman"/>
                <w:sz w:val="22"/>
                <w:szCs w:val="22"/>
              </w:rPr>
              <w:t xml:space="preserve">Proceedings were initiated in terms of </w:t>
            </w:r>
            <w:r w:rsidR="007D5BC8" w:rsidRPr="00865047">
              <w:rPr>
                <w:rFonts w:ascii="Book Antiqua" w:hAnsi="Book Antiqua"/>
                <w:color w:val="000000"/>
                <w:sz w:val="22"/>
                <w:szCs w:val="22"/>
              </w:rPr>
              <w:t>sub-regulation (1) of regulation 6 and sub-regulation (1) of regulation 27 of the Listed Companies (Code of Corporate Governance) Regulations, 2019 (</w:t>
            </w:r>
            <w:r w:rsidR="007D5BC8" w:rsidRPr="00865047">
              <w:rPr>
                <w:rFonts w:ascii="Book Antiqua" w:hAnsi="Book Antiqua"/>
                <w:b/>
                <w:color w:val="000000"/>
                <w:sz w:val="22"/>
                <w:szCs w:val="22"/>
              </w:rPr>
              <w:t>the CCG Regulations</w:t>
            </w:r>
            <w:r w:rsidR="007D5BC8" w:rsidRPr="00865047">
              <w:rPr>
                <w:rFonts w:ascii="Book Antiqua" w:hAnsi="Book Antiqua"/>
                <w:color w:val="000000"/>
                <w:sz w:val="22"/>
                <w:szCs w:val="22"/>
              </w:rPr>
              <w:t xml:space="preserve">) read with regulation 37 thereof and Section 512 of the Companies Act, </w:t>
            </w:r>
            <w:r w:rsidR="007D5BC8" w:rsidRPr="00865047">
              <w:rPr>
                <w:rFonts w:ascii="Book Antiqua" w:hAnsi="Book Antiqua"/>
                <w:sz w:val="22"/>
                <w:szCs w:val="22"/>
              </w:rPr>
              <w:t>2017 (</w:t>
            </w:r>
            <w:r w:rsidR="007D5BC8" w:rsidRPr="00865047">
              <w:rPr>
                <w:rFonts w:ascii="Book Antiqua" w:hAnsi="Book Antiqua"/>
                <w:b/>
                <w:sz w:val="22"/>
                <w:szCs w:val="22"/>
              </w:rPr>
              <w:t>the Act</w:t>
            </w:r>
            <w:r w:rsidR="007D5BC8" w:rsidRPr="00865047">
              <w:rPr>
                <w:rFonts w:ascii="Book Antiqua" w:hAnsi="Book Antiqua"/>
                <w:color w:val="000000"/>
                <w:sz w:val="22"/>
                <w:szCs w:val="22"/>
              </w:rPr>
              <w:t>)</w:t>
            </w:r>
          </w:p>
          <w:p w:rsidR="007D5BC8" w:rsidRPr="003E0610" w:rsidRDefault="007D5BC8" w:rsidP="003E0610">
            <w:pPr>
              <w:jc w:val="both"/>
              <w:rPr>
                <w:rFonts w:ascii="Book Antiqua" w:hAnsi="Book Antiqua"/>
                <w:sz w:val="22"/>
                <w:szCs w:val="22"/>
              </w:rPr>
            </w:pPr>
          </w:p>
          <w:p w:rsidR="007D5BC8" w:rsidRPr="007D5BC8" w:rsidRDefault="007D5BC8" w:rsidP="007D5BC8">
            <w:pPr>
              <w:jc w:val="both"/>
              <w:rPr>
                <w:rFonts w:ascii="Book Antiqua" w:hAnsi="Book Antiqua" w:cs="Times New Roman"/>
                <w:sz w:val="22"/>
                <w:szCs w:val="22"/>
              </w:rPr>
            </w:pPr>
            <w:r w:rsidRPr="007D5BC8">
              <w:rPr>
                <w:rFonts w:ascii="Book Antiqua" w:hAnsi="Book Antiqua" w:cs="Times New Roman"/>
                <w:sz w:val="22"/>
                <w:szCs w:val="22"/>
              </w:rPr>
              <w:t>Facts of the case are that the notice dated January 27, 2020 for the Company’s Annual General Meeting (AGM) contained the agenda with regard to election of the directors of the Company. Whereas, the notice dated February 10, 2020 issued by the Company under Section 159(4) of the Act disclosed that since the number of candidates who have offered themselves for election is equal to the number fixed by the Board in term of Section 159(1) of the Act, the above-named persons shall be deemed to be elected as directors at the aforesaid AGM.</w:t>
            </w:r>
            <w:bookmarkStart w:id="0" w:name="_Hlk65224404"/>
            <w:r w:rsidRPr="007D5BC8">
              <w:rPr>
                <w:rFonts w:ascii="Book Antiqua" w:hAnsi="Book Antiqua" w:cs="Times New Roman"/>
                <w:sz w:val="22"/>
                <w:szCs w:val="22"/>
              </w:rPr>
              <w:t xml:space="preserve"> Furthermore, it was observed that the Company under para 18 of the Statement of Compliance with the CCG Regulations for the year ended September 30, 2020 stated the following:</w:t>
            </w:r>
          </w:p>
          <w:p w:rsidR="007D5BC8" w:rsidRPr="00865047" w:rsidRDefault="007D5BC8" w:rsidP="007D5BC8">
            <w:pPr>
              <w:pStyle w:val="ListParagraph"/>
              <w:spacing w:line="276" w:lineRule="auto"/>
              <w:ind w:left="709" w:right="299" w:hanging="567"/>
              <w:jc w:val="both"/>
              <w:rPr>
                <w:rFonts w:ascii="Book Antiqua" w:hAnsi="Book Antiqua"/>
                <w:i/>
                <w:sz w:val="22"/>
                <w:szCs w:val="22"/>
              </w:rPr>
            </w:pPr>
            <w:r w:rsidRPr="00865047">
              <w:rPr>
                <w:rFonts w:ascii="Book Antiqua" w:hAnsi="Book Antiqua"/>
                <w:i/>
                <w:sz w:val="22"/>
                <w:szCs w:val="22"/>
              </w:rPr>
              <w:t xml:space="preserve">“a) </w:t>
            </w:r>
            <w:r w:rsidRPr="00865047">
              <w:rPr>
                <w:rFonts w:ascii="Book Antiqua" w:hAnsi="Book Antiqua"/>
                <w:i/>
                <w:sz w:val="22"/>
                <w:szCs w:val="22"/>
              </w:rPr>
              <w:tab/>
              <w:t xml:space="preserve">the Company did not have any independent director on board as per the requirements of clause (1) of Section 6 of the Listed </w:t>
            </w:r>
            <w:r w:rsidRPr="00865047">
              <w:rPr>
                <w:rFonts w:ascii="Book Antiqua" w:hAnsi="Book Antiqua"/>
                <w:i/>
                <w:sz w:val="22"/>
                <w:szCs w:val="22"/>
              </w:rPr>
              <w:lastRenderedPageBreak/>
              <w:t>Companies (Code of Corporate Governance) Regulations, 2019.</w:t>
            </w:r>
          </w:p>
          <w:p w:rsidR="007D5BC8" w:rsidRPr="00865047" w:rsidRDefault="007D5BC8" w:rsidP="007D5BC8">
            <w:pPr>
              <w:pStyle w:val="ListParagraph"/>
              <w:spacing w:line="276" w:lineRule="auto"/>
              <w:ind w:left="709" w:right="299" w:hanging="567"/>
              <w:jc w:val="both"/>
              <w:rPr>
                <w:rFonts w:ascii="Book Antiqua" w:hAnsi="Book Antiqua"/>
                <w:i/>
                <w:sz w:val="22"/>
                <w:szCs w:val="22"/>
              </w:rPr>
            </w:pPr>
            <w:r w:rsidRPr="00865047">
              <w:rPr>
                <w:rFonts w:ascii="Book Antiqua" w:hAnsi="Book Antiqua"/>
                <w:i/>
                <w:sz w:val="22"/>
                <w:szCs w:val="22"/>
              </w:rPr>
              <w:t xml:space="preserve">  (b) </w:t>
            </w:r>
            <w:r w:rsidRPr="00865047">
              <w:rPr>
                <w:rFonts w:ascii="Book Antiqua" w:hAnsi="Book Antiqua"/>
                <w:i/>
                <w:sz w:val="22"/>
                <w:szCs w:val="22"/>
              </w:rPr>
              <w:tab/>
              <w:t xml:space="preserve"> None of the members (including the chairman) of Audit committee is an independent director as per sub-clause (</w:t>
            </w:r>
            <w:proofErr w:type="spellStart"/>
            <w:r w:rsidRPr="00865047">
              <w:rPr>
                <w:rFonts w:ascii="Book Antiqua" w:hAnsi="Book Antiqua"/>
                <w:i/>
                <w:sz w:val="22"/>
                <w:szCs w:val="22"/>
              </w:rPr>
              <w:t>i</w:t>
            </w:r>
            <w:proofErr w:type="spellEnd"/>
            <w:r w:rsidRPr="00865047">
              <w:rPr>
                <w:rFonts w:ascii="Book Antiqua" w:hAnsi="Book Antiqua"/>
                <w:i/>
                <w:sz w:val="22"/>
                <w:szCs w:val="22"/>
              </w:rPr>
              <w:t>) &amp; (ii) of clause 1 of Section 27 of the Listed Companies (Code of Corporate Governance) Regulations, 2019.”</w:t>
            </w:r>
          </w:p>
          <w:p w:rsidR="007D5BC8" w:rsidRPr="00865047" w:rsidRDefault="007D5BC8" w:rsidP="007D5BC8">
            <w:pPr>
              <w:pStyle w:val="ListParagraph"/>
              <w:spacing w:line="276" w:lineRule="auto"/>
              <w:ind w:left="0"/>
              <w:jc w:val="both"/>
              <w:rPr>
                <w:rFonts w:ascii="Book Antiqua" w:hAnsi="Book Antiqua"/>
                <w:sz w:val="22"/>
                <w:szCs w:val="22"/>
              </w:rPr>
            </w:pPr>
          </w:p>
          <w:bookmarkEnd w:id="0"/>
          <w:p w:rsidR="007D5BC8" w:rsidRPr="007D5BC8" w:rsidRDefault="007D5BC8" w:rsidP="007D5BC8">
            <w:pPr>
              <w:jc w:val="both"/>
              <w:rPr>
                <w:rFonts w:ascii="Book Antiqua" w:hAnsi="Book Antiqua" w:cs="Times New Roman"/>
                <w:sz w:val="22"/>
                <w:szCs w:val="22"/>
              </w:rPr>
            </w:pPr>
            <w:r w:rsidRPr="007D5BC8">
              <w:rPr>
                <w:rFonts w:ascii="Book Antiqua" w:hAnsi="Book Antiqua" w:cs="Times New Roman"/>
                <w:sz w:val="22"/>
                <w:szCs w:val="22"/>
              </w:rPr>
              <w:t>The review report to members of the Company by UHY Hassan Naeem &amp; Co., Chartered Accountants, statutory auditors, on the statement of compliance with CCG Regulations for the year September 30, 2020 disclosed the following:</w:t>
            </w:r>
          </w:p>
          <w:p w:rsidR="007D5BC8" w:rsidRPr="007D5BC8" w:rsidRDefault="007D5BC8" w:rsidP="007D5BC8">
            <w:pPr>
              <w:jc w:val="both"/>
              <w:rPr>
                <w:rFonts w:ascii="Book Antiqua" w:hAnsi="Book Antiqua" w:cs="Times New Roman"/>
                <w:sz w:val="22"/>
                <w:szCs w:val="22"/>
              </w:rPr>
            </w:pPr>
            <w:bookmarkStart w:id="1" w:name="_Hlk109149970"/>
          </w:p>
          <w:p w:rsidR="007D5BC8" w:rsidRPr="00865047" w:rsidRDefault="007D5BC8" w:rsidP="00B35A40">
            <w:pPr>
              <w:pStyle w:val="ListParagraph"/>
              <w:spacing w:line="276" w:lineRule="auto"/>
              <w:ind w:left="537" w:right="299" w:hanging="111"/>
              <w:jc w:val="both"/>
              <w:rPr>
                <w:rFonts w:ascii="Book Antiqua" w:hAnsi="Book Antiqua"/>
                <w:i/>
                <w:sz w:val="22"/>
                <w:szCs w:val="22"/>
              </w:rPr>
            </w:pPr>
            <w:r w:rsidRPr="00865047">
              <w:rPr>
                <w:rFonts w:ascii="Book Antiqua" w:hAnsi="Book Antiqua"/>
                <w:i/>
                <w:sz w:val="22"/>
                <w:szCs w:val="22"/>
              </w:rPr>
              <w:t>“</w:t>
            </w:r>
            <w:r w:rsidRPr="00B35A40">
              <w:rPr>
                <w:rFonts w:ascii="Book Antiqua" w:hAnsi="Book Antiqua"/>
                <w:b/>
                <w:i/>
                <w:sz w:val="22"/>
                <w:szCs w:val="22"/>
              </w:rPr>
              <w:t>Paragraph 18 (a):</w:t>
            </w:r>
            <w:r w:rsidRPr="00865047">
              <w:rPr>
                <w:rFonts w:ascii="Book Antiqua" w:hAnsi="Book Antiqua"/>
                <w:i/>
                <w:sz w:val="22"/>
                <w:szCs w:val="22"/>
              </w:rPr>
              <w:tab/>
              <w:t>At present there is no independent director on the Company’s Board of Directors as required under the clause (1) of Section 6 of the Listed Companies (Code of Corporate Governance) Regulations, 2019.</w:t>
            </w:r>
          </w:p>
          <w:p w:rsidR="003E0610" w:rsidRPr="00B35A40" w:rsidRDefault="007D5BC8" w:rsidP="00B35A40">
            <w:pPr>
              <w:pStyle w:val="ListParagraph"/>
              <w:spacing w:line="276" w:lineRule="auto"/>
              <w:ind w:left="395" w:right="299" w:firstLine="31"/>
              <w:jc w:val="both"/>
              <w:rPr>
                <w:rFonts w:ascii="Book Antiqua" w:hAnsi="Book Antiqua"/>
                <w:sz w:val="22"/>
                <w:szCs w:val="22"/>
              </w:rPr>
            </w:pPr>
            <w:r w:rsidRPr="00B35A40">
              <w:rPr>
                <w:rFonts w:ascii="Book Antiqua" w:hAnsi="Book Antiqua"/>
                <w:b/>
                <w:i/>
                <w:sz w:val="22"/>
                <w:szCs w:val="22"/>
              </w:rPr>
              <w:t>Paragraph 18 (b):</w:t>
            </w:r>
            <w:r w:rsidRPr="00865047">
              <w:rPr>
                <w:rFonts w:ascii="Book Antiqua" w:hAnsi="Book Antiqua"/>
                <w:i/>
                <w:sz w:val="22"/>
                <w:szCs w:val="22"/>
              </w:rPr>
              <w:tab/>
            </w:r>
            <w:r w:rsidR="00B35A40">
              <w:rPr>
                <w:rFonts w:ascii="Book Antiqua" w:hAnsi="Book Antiqua"/>
                <w:i/>
                <w:sz w:val="22"/>
                <w:szCs w:val="22"/>
              </w:rPr>
              <w:t xml:space="preserve">          </w:t>
            </w:r>
            <w:r w:rsidRPr="00865047">
              <w:rPr>
                <w:rFonts w:ascii="Book Antiqua" w:hAnsi="Book Antiqua"/>
                <w:i/>
                <w:sz w:val="22"/>
                <w:szCs w:val="22"/>
              </w:rPr>
              <w:t>Under sub-clause (</w:t>
            </w:r>
            <w:proofErr w:type="spellStart"/>
            <w:r w:rsidRPr="00865047">
              <w:rPr>
                <w:rFonts w:ascii="Book Antiqua" w:hAnsi="Book Antiqua"/>
                <w:i/>
                <w:sz w:val="22"/>
                <w:szCs w:val="22"/>
              </w:rPr>
              <w:t>i</w:t>
            </w:r>
            <w:proofErr w:type="spellEnd"/>
            <w:r w:rsidRPr="00865047">
              <w:rPr>
                <w:rFonts w:ascii="Book Antiqua" w:hAnsi="Book Antiqua"/>
                <w:i/>
                <w:sz w:val="22"/>
                <w:szCs w:val="22"/>
              </w:rPr>
              <w:t>) &amp; (ii) of clause 1 of Section 27 of the Listed Companies (Code of Corporate Governance) Regulations, 2019, the Audit Committee shall have at least one independent director who shall preferably be the chairman of the Committee. Since, there is no independent director on the Board, this requirement is not complied with.”</w:t>
            </w:r>
            <w:bookmarkEnd w:id="1"/>
          </w:p>
        </w:tc>
      </w:tr>
      <w:tr w:rsidR="00FD6E1D" w:rsidRPr="003E0610" w:rsidTr="00991511">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lastRenderedPageBreak/>
              <w:t>Action Taken</w:t>
            </w:r>
          </w:p>
          <w:p w:rsidR="00FD6E1D" w:rsidRPr="003E0610" w:rsidRDefault="00FD6E1D" w:rsidP="00FD6E1D">
            <w:pPr>
              <w:jc w:val="both"/>
              <w:rPr>
                <w:rFonts w:ascii="Book Antiqua" w:hAnsi="Book Antiqua" w:cs="Times New Roman"/>
                <w:sz w:val="22"/>
                <w:szCs w:val="22"/>
              </w:rPr>
            </w:pPr>
          </w:p>
        </w:tc>
        <w:tc>
          <w:tcPr>
            <w:tcW w:w="6660" w:type="dxa"/>
          </w:tcPr>
          <w:p w:rsidR="00963191" w:rsidRPr="003E0610"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605013" w:rsidRDefault="00605013" w:rsidP="00605013">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p>
          <w:p w:rsidR="007D5BC8" w:rsidRPr="00865047" w:rsidRDefault="007D5BC8" w:rsidP="007D5BC8">
            <w:pPr>
              <w:tabs>
                <w:tab w:val="left" w:pos="720"/>
                <w:tab w:val="left" w:pos="5760"/>
              </w:tabs>
              <w:spacing w:line="360" w:lineRule="auto"/>
              <w:ind w:right="-18"/>
              <w:jc w:val="both"/>
              <w:rPr>
                <w:rFonts w:ascii="Book Antiqua" w:hAnsi="Book Antiqua"/>
                <w:color w:val="262626" w:themeColor="text1" w:themeTint="D9"/>
                <w:sz w:val="22"/>
                <w:szCs w:val="22"/>
              </w:rPr>
            </w:pPr>
            <w:bookmarkStart w:id="2" w:name="_Hlk109127963"/>
            <w:bookmarkStart w:id="3" w:name="_Hlk109203833"/>
            <w:bookmarkStart w:id="4" w:name="_GoBack"/>
            <w:bookmarkEnd w:id="4"/>
            <w:r w:rsidRPr="00865047">
              <w:rPr>
                <w:rFonts w:ascii="Book Antiqua" w:hAnsi="Book Antiqua"/>
                <w:color w:val="262626" w:themeColor="text1" w:themeTint="D9"/>
                <w:sz w:val="22"/>
                <w:szCs w:val="22"/>
              </w:rPr>
              <w:t>I have reviewed the facts of the case and considered both the written submissions and verbal arguments made by the Respondents and their Representative, in light of the aforementioned applicable legal provisions and observed that</w:t>
            </w:r>
            <w:bookmarkEnd w:id="2"/>
            <w:r w:rsidRPr="00865047">
              <w:rPr>
                <w:rFonts w:ascii="Book Antiqua" w:hAnsi="Book Antiqua"/>
                <w:color w:val="262626" w:themeColor="text1" w:themeTint="D9"/>
                <w:sz w:val="22"/>
                <w:szCs w:val="22"/>
              </w:rPr>
              <w:t xml:space="preserve"> the Respondents failed to appoint:</w:t>
            </w:r>
          </w:p>
          <w:p w:rsidR="007D5BC8" w:rsidRPr="00865047" w:rsidRDefault="007D5BC8" w:rsidP="007D5BC8">
            <w:pPr>
              <w:pStyle w:val="ListParagraph"/>
              <w:numPr>
                <w:ilvl w:val="0"/>
                <w:numId w:val="22"/>
              </w:numPr>
              <w:spacing w:line="360" w:lineRule="auto"/>
              <w:ind w:left="537" w:right="-18" w:hanging="426"/>
              <w:contextualSpacing w:val="0"/>
              <w:jc w:val="both"/>
              <w:rPr>
                <w:rFonts w:ascii="Book Antiqua" w:eastAsiaTheme="minorHAnsi" w:hAnsi="Book Antiqua"/>
                <w:color w:val="262626" w:themeColor="text1" w:themeTint="D9"/>
                <w:sz w:val="22"/>
                <w:szCs w:val="22"/>
              </w:rPr>
            </w:pPr>
            <w:r w:rsidRPr="00865047">
              <w:rPr>
                <w:rFonts w:ascii="Book Antiqua" w:eastAsiaTheme="minorHAnsi" w:hAnsi="Book Antiqua"/>
                <w:color w:val="262626" w:themeColor="text1" w:themeTint="D9"/>
                <w:sz w:val="22"/>
                <w:szCs w:val="22"/>
              </w:rPr>
              <w:t>two (2) independent directors</w:t>
            </w:r>
            <w:r w:rsidRPr="00865047">
              <w:rPr>
                <w:rFonts w:ascii="Book Antiqua" w:hAnsi="Book Antiqua"/>
                <w:color w:val="262626" w:themeColor="text1" w:themeTint="D9"/>
                <w:sz w:val="22"/>
                <w:szCs w:val="22"/>
              </w:rPr>
              <w:t xml:space="preserve"> on the Board, contrary to the requirements of regulation 6(1) of the CCG Regulations; and</w:t>
            </w:r>
          </w:p>
          <w:p w:rsidR="007D5BC8" w:rsidRPr="00865047" w:rsidRDefault="007D5BC8" w:rsidP="007D5BC8">
            <w:pPr>
              <w:pStyle w:val="ListParagraph"/>
              <w:numPr>
                <w:ilvl w:val="0"/>
                <w:numId w:val="22"/>
              </w:numPr>
              <w:spacing w:line="360" w:lineRule="auto"/>
              <w:ind w:left="537" w:right="-18" w:hanging="426"/>
              <w:contextualSpacing w:val="0"/>
              <w:jc w:val="both"/>
              <w:rPr>
                <w:rFonts w:ascii="Book Antiqua" w:hAnsi="Book Antiqua"/>
                <w:color w:val="262626" w:themeColor="text1" w:themeTint="D9"/>
                <w:sz w:val="22"/>
                <w:szCs w:val="22"/>
              </w:rPr>
            </w:pPr>
            <w:r w:rsidRPr="00865047">
              <w:rPr>
                <w:rFonts w:ascii="Book Antiqua" w:hAnsi="Book Antiqua"/>
                <w:bCs/>
                <w:sz w:val="22"/>
                <w:szCs w:val="22"/>
              </w:rPr>
              <w:t>independent director as member and chairman of BAC, contrary to the requirements of regulation 27(1)(</w:t>
            </w:r>
            <w:proofErr w:type="spellStart"/>
            <w:r w:rsidRPr="00865047">
              <w:rPr>
                <w:rFonts w:ascii="Book Antiqua" w:hAnsi="Book Antiqua"/>
                <w:bCs/>
                <w:sz w:val="22"/>
                <w:szCs w:val="22"/>
              </w:rPr>
              <w:t>i</w:t>
            </w:r>
            <w:proofErr w:type="spellEnd"/>
            <w:r w:rsidRPr="00865047">
              <w:rPr>
                <w:rFonts w:ascii="Book Antiqua" w:hAnsi="Book Antiqua"/>
                <w:bCs/>
                <w:sz w:val="22"/>
                <w:szCs w:val="22"/>
              </w:rPr>
              <w:t>) &amp; (ii) of the CCG Regulations.</w:t>
            </w:r>
          </w:p>
          <w:p w:rsidR="007D5BC8" w:rsidRPr="00865047" w:rsidRDefault="007D5BC8" w:rsidP="007D5BC8">
            <w:pPr>
              <w:pStyle w:val="ListParagraph"/>
              <w:ind w:left="1440" w:right="-18"/>
              <w:jc w:val="both"/>
              <w:rPr>
                <w:rFonts w:ascii="Book Antiqua" w:hAnsi="Book Antiqua"/>
                <w:color w:val="262626" w:themeColor="text1" w:themeTint="D9"/>
                <w:sz w:val="22"/>
                <w:szCs w:val="22"/>
              </w:rPr>
            </w:pPr>
          </w:p>
          <w:p w:rsidR="007D5BC8" w:rsidRDefault="007D5BC8" w:rsidP="007D5BC8">
            <w:pPr>
              <w:tabs>
                <w:tab w:val="left" w:pos="720"/>
                <w:tab w:val="left" w:pos="5760"/>
              </w:tabs>
              <w:spacing w:line="360" w:lineRule="auto"/>
              <w:ind w:right="-18"/>
              <w:jc w:val="both"/>
              <w:rPr>
                <w:rFonts w:ascii="Book Antiqua" w:hAnsi="Book Antiqua"/>
                <w:color w:val="262626" w:themeColor="text1" w:themeTint="D9"/>
                <w:sz w:val="22"/>
                <w:szCs w:val="22"/>
              </w:rPr>
            </w:pPr>
            <w:r w:rsidRPr="00865047">
              <w:rPr>
                <w:rFonts w:ascii="Book Antiqua" w:hAnsi="Book Antiqua"/>
                <w:color w:val="262626" w:themeColor="text1" w:themeTint="D9"/>
                <w:sz w:val="22"/>
                <w:szCs w:val="22"/>
              </w:rPr>
              <w:t xml:space="preserve">In view of the above, the </w:t>
            </w:r>
            <w:r>
              <w:rPr>
                <w:rFonts w:ascii="Book Antiqua" w:hAnsi="Book Antiqua"/>
                <w:color w:val="262626" w:themeColor="text1" w:themeTint="D9"/>
                <w:sz w:val="22"/>
                <w:szCs w:val="22"/>
              </w:rPr>
              <w:t>Respondents have</w:t>
            </w:r>
            <w:r w:rsidRPr="00865047">
              <w:rPr>
                <w:rFonts w:ascii="Book Antiqua" w:hAnsi="Book Antiqua"/>
                <w:color w:val="262626" w:themeColor="text1" w:themeTint="D9"/>
                <w:sz w:val="22"/>
                <w:szCs w:val="22"/>
              </w:rPr>
              <w:t xml:space="preserve"> contravened the provisions of regulations 6(1) and 27(1)(</w:t>
            </w:r>
            <w:proofErr w:type="spellStart"/>
            <w:r w:rsidRPr="00865047">
              <w:rPr>
                <w:rFonts w:ascii="Book Antiqua" w:hAnsi="Book Antiqua"/>
                <w:color w:val="262626" w:themeColor="text1" w:themeTint="D9"/>
                <w:sz w:val="22"/>
                <w:szCs w:val="22"/>
              </w:rPr>
              <w:t>i</w:t>
            </w:r>
            <w:proofErr w:type="spellEnd"/>
            <w:r w:rsidRPr="00865047">
              <w:rPr>
                <w:rFonts w:ascii="Book Antiqua" w:hAnsi="Book Antiqua"/>
                <w:color w:val="262626" w:themeColor="text1" w:themeTint="D9"/>
                <w:sz w:val="22"/>
                <w:szCs w:val="22"/>
              </w:rPr>
              <w:t xml:space="preserve">) &amp; (ii) of the CCG Regulations, for which, they are liable to be penalized under </w:t>
            </w:r>
            <w:r w:rsidRPr="00865047">
              <w:rPr>
                <w:rFonts w:ascii="Book Antiqua" w:hAnsi="Book Antiqua"/>
                <w:color w:val="262626" w:themeColor="text1" w:themeTint="D9"/>
                <w:sz w:val="22"/>
                <w:szCs w:val="22"/>
              </w:rPr>
              <w:lastRenderedPageBreak/>
              <w:t xml:space="preserve">regulation 37 of the CCG Regulations read with Section 512(2) of the Act. Therefore, in exercise of the powers conferred under regulation 37 of the CCG Regulations read with Section 512(2) of the Act, I hereby impose fine of </w:t>
            </w:r>
            <w:r w:rsidRPr="00865047">
              <w:rPr>
                <w:rFonts w:ascii="Book Antiqua" w:hAnsi="Book Antiqua"/>
                <w:b/>
                <w:color w:val="262626" w:themeColor="text1" w:themeTint="D9"/>
                <w:sz w:val="22"/>
                <w:szCs w:val="22"/>
              </w:rPr>
              <w:t>Rs.</w:t>
            </w:r>
            <w:r>
              <w:rPr>
                <w:rFonts w:ascii="Book Antiqua" w:hAnsi="Book Antiqua"/>
                <w:b/>
                <w:color w:val="262626" w:themeColor="text1" w:themeTint="D9"/>
                <w:sz w:val="22"/>
                <w:szCs w:val="22"/>
              </w:rPr>
              <w:t xml:space="preserve"> 100,000</w:t>
            </w:r>
            <w:r w:rsidRPr="00865047">
              <w:rPr>
                <w:rFonts w:ascii="Book Antiqua" w:hAnsi="Book Antiqua"/>
                <w:b/>
                <w:color w:val="262626" w:themeColor="text1" w:themeTint="D9"/>
                <w:sz w:val="22"/>
                <w:szCs w:val="22"/>
              </w:rPr>
              <w:t>/- (</w:t>
            </w:r>
            <w:r w:rsidRPr="00F90036">
              <w:rPr>
                <w:rFonts w:ascii="Book Antiqua" w:hAnsi="Book Antiqua"/>
                <w:b/>
                <w:color w:val="262626" w:themeColor="text1" w:themeTint="D9"/>
                <w:sz w:val="22"/>
                <w:szCs w:val="22"/>
              </w:rPr>
              <w:t>Rupees one hundred thousand</w:t>
            </w:r>
            <w:r w:rsidRPr="00865047">
              <w:rPr>
                <w:rFonts w:ascii="Book Antiqua" w:hAnsi="Book Antiqua"/>
                <w:b/>
                <w:color w:val="262626" w:themeColor="text1" w:themeTint="D9"/>
                <w:sz w:val="22"/>
                <w:szCs w:val="22"/>
              </w:rPr>
              <w:t xml:space="preserve"> Only)</w:t>
            </w:r>
            <w:r w:rsidRPr="00865047">
              <w:rPr>
                <w:rFonts w:ascii="Book Antiqua" w:hAnsi="Book Antiqua"/>
                <w:color w:val="262626" w:themeColor="text1" w:themeTint="D9"/>
                <w:sz w:val="22"/>
                <w:szCs w:val="22"/>
              </w:rPr>
              <w:t xml:space="preserve"> on the Respondent Company only. The directors are, however, advised to ensure compliance with all the applicable regulatory requirements in letter and spirit, in future.   </w:t>
            </w:r>
            <w:bookmarkEnd w:id="3"/>
          </w:p>
          <w:p w:rsidR="007D5BC8" w:rsidRPr="007D5BC8" w:rsidRDefault="007D5BC8" w:rsidP="007D5BC8">
            <w:pPr>
              <w:tabs>
                <w:tab w:val="left" w:pos="720"/>
                <w:tab w:val="left" w:pos="5760"/>
              </w:tabs>
              <w:spacing w:line="360" w:lineRule="auto"/>
              <w:ind w:right="-18"/>
              <w:jc w:val="both"/>
              <w:rPr>
                <w:rFonts w:ascii="Book Antiqua" w:hAnsi="Book Antiqua"/>
                <w:color w:val="262626" w:themeColor="text1" w:themeTint="D9"/>
                <w:sz w:val="22"/>
                <w:szCs w:val="22"/>
              </w:rPr>
            </w:pPr>
          </w:p>
          <w:p w:rsidR="007D5BC8" w:rsidRPr="00865047" w:rsidRDefault="007D5BC8" w:rsidP="007D5BC8">
            <w:pPr>
              <w:pStyle w:val="ListParagraph"/>
              <w:spacing w:line="360" w:lineRule="auto"/>
              <w:ind w:left="0"/>
              <w:contextualSpacing w:val="0"/>
              <w:jc w:val="both"/>
              <w:rPr>
                <w:rFonts w:ascii="Book Antiqua" w:eastAsia="Calibri" w:hAnsi="Book Antiqua"/>
                <w:color w:val="000000" w:themeColor="text1"/>
                <w:sz w:val="22"/>
                <w:szCs w:val="22"/>
              </w:rPr>
            </w:pPr>
            <w:r w:rsidRPr="00865047">
              <w:rPr>
                <w:rFonts w:ascii="Book Antiqua" w:eastAsia="Calibri" w:hAnsi="Book Antiqua"/>
                <w:color w:val="000000" w:themeColor="text1"/>
                <w:sz w:val="22"/>
                <w:szCs w:val="22"/>
              </w:rPr>
              <w:t xml:space="preserve">Nothing in this Order may be deemed to prejudice the operation of any provision of the Act providing for imposition of penalties in respect of any default, omission or violation of the Act. </w:t>
            </w:r>
          </w:p>
          <w:p w:rsidR="00213C34" w:rsidRPr="003E0610" w:rsidRDefault="00213C34" w:rsidP="005D1DD2">
            <w:pPr>
              <w:jc w:val="both"/>
              <w:rPr>
                <w:rFonts w:ascii="Book Antiqua" w:hAnsi="Book Antiqua" w:cs="Times New Roman"/>
                <w:sz w:val="22"/>
                <w:szCs w:val="22"/>
              </w:rPr>
            </w:pPr>
          </w:p>
        </w:tc>
      </w:tr>
      <w:tr w:rsidR="00FD6E1D" w:rsidRPr="003E0610" w:rsidTr="00991511">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lastRenderedPageBreak/>
              <w:t>Penalty Imposed</w:t>
            </w:r>
          </w:p>
          <w:p w:rsidR="00FD6E1D" w:rsidRPr="003E0610" w:rsidRDefault="00FD6E1D" w:rsidP="00FD6E1D">
            <w:pPr>
              <w:jc w:val="both"/>
              <w:rPr>
                <w:rFonts w:ascii="Book Antiqua" w:hAnsi="Book Antiqua" w:cs="Times New Roman"/>
                <w:sz w:val="22"/>
                <w:szCs w:val="22"/>
              </w:rPr>
            </w:pPr>
          </w:p>
        </w:tc>
        <w:tc>
          <w:tcPr>
            <w:tcW w:w="6660" w:type="dxa"/>
          </w:tcPr>
          <w:p w:rsidR="00FD6E1D" w:rsidRPr="003E0610" w:rsidRDefault="007D5BC8" w:rsidP="00F604C5">
            <w:pPr>
              <w:rPr>
                <w:rFonts w:ascii="Book Antiqua" w:hAnsi="Book Antiqua" w:cs="Times New Roman"/>
                <w:sz w:val="22"/>
                <w:szCs w:val="22"/>
              </w:rPr>
            </w:pPr>
            <w:r w:rsidRPr="00865047">
              <w:rPr>
                <w:rFonts w:ascii="Book Antiqua" w:hAnsi="Book Antiqua"/>
                <w:b/>
                <w:color w:val="262626" w:themeColor="text1" w:themeTint="D9"/>
                <w:sz w:val="22"/>
                <w:szCs w:val="22"/>
              </w:rPr>
              <w:t>Rs.</w:t>
            </w:r>
            <w:r>
              <w:rPr>
                <w:rFonts w:ascii="Book Antiqua" w:hAnsi="Book Antiqua"/>
                <w:b/>
                <w:color w:val="262626" w:themeColor="text1" w:themeTint="D9"/>
                <w:sz w:val="22"/>
                <w:szCs w:val="22"/>
              </w:rPr>
              <w:t xml:space="preserve"> 100,000</w:t>
            </w:r>
            <w:r w:rsidRPr="00865047">
              <w:rPr>
                <w:rFonts w:ascii="Book Antiqua" w:hAnsi="Book Antiqua"/>
                <w:b/>
                <w:color w:val="262626" w:themeColor="text1" w:themeTint="D9"/>
                <w:sz w:val="22"/>
                <w:szCs w:val="22"/>
              </w:rPr>
              <w:t>/- (</w:t>
            </w:r>
            <w:r w:rsidRPr="00F90036">
              <w:rPr>
                <w:rFonts w:ascii="Book Antiqua" w:hAnsi="Book Antiqua"/>
                <w:b/>
                <w:color w:val="262626" w:themeColor="text1" w:themeTint="D9"/>
                <w:sz w:val="22"/>
                <w:szCs w:val="22"/>
              </w:rPr>
              <w:t>Rupees one hundred thousand</w:t>
            </w:r>
            <w:r w:rsidRPr="00865047">
              <w:rPr>
                <w:rFonts w:ascii="Book Antiqua" w:hAnsi="Book Antiqua"/>
                <w:b/>
                <w:color w:val="262626" w:themeColor="text1" w:themeTint="D9"/>
                <w:sz w:val="22"/>
                <w:szCs w:val="22"/>
              </w:rPr>
              <w:t xml:space="preserve"> Only)</w:t>
            </w:r>
          </w:p>
        </w:tc>
      </w:tr>
      <w:tr w:rsidR="00FD6E1D" w:rsidRPr="003E0610" w:rsidTr="00991511">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B35A40" w:rsidP="00FD6E1D">
            <w:pPr>
              <w:jc w:val="both"/>
              <w:rPr>
                <w:rFonts w:ascii="Book Antiqua" w:hAnsi="Book Antiqua" w:cs="Times New Roman"/>
                <w:sz w:val="22"/>
                <w:szCs w:val="22"/>
              </w:rPr>
            </w:pPr>
            <w:r w:rsidRPr="00F604C5">
              <w:rPr>
                <w:rFonts w:ascii="Book Antiqua" w:hAnsi="Book Antiqua" w:cs="Times New Roman"/>
                <w:sz w:val="22"/>
                <w:szCs w:val="22"/>
              </w:rPr>
              <w:t xml:space="preserve">No Appeal filed </w:t>
            </w:r>
            <w:r>
              <w:rPr>
                <w:rFonts w:ascii="Book Antiqua" w:hAnsi="Book Antiqua" w:cs="Times New Roman"/>
                <w:sz w:val="22"/>
                <w:szCs w:val="22"/>
              </w:rPr>
              <w:t xml:space="preserve">and the imposed penalty </w:t>
            </w:r>
            <w:r w:rsidRPr="00F604C5">
              <w:rPr>
                <w:rFonts w:ascii="Book Antiqua" w:hAnsi="Book Antiqua" w:cs="Times New Roman"/>
                <w:sz w:val="22"/>
                <w:szCs w:val="22"/>
              </w:rPr>
              <w:t xml:space="preserve">has been </w:t>
            </w:r>
            <w:r>
              <w:rPr>
                <w:rFonts w:ascii="Book Antiqua" w:hAnsi="Book Antiqua" w:cs="Times New Roman"/>
                <w:sz w:val="22"/>
                <w:szCs w:val="22"/>
              </w:rPr>
              <w:t xml:space="preserve">deposited </w:t>
            </w:r>
            <w:r w:rsidRPr="00F604C5">
              <w:rPr>
                <w:rFonts w:ascii="Book Antiqua" w:hAnsi="Book Antiqua" w:cs="Times New Roman"/>
                <w:sz w:val="22"/>
                <w:szCs w:val="22"/>
              </w:rPr>
              <w:t>by the respondents</w:t>
            </w:r>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3FC" w:rsidRDefault="00C423FC" w:rsidP="007F33F3">
      <w:r>
        <w:separator/>
      </w:r>
    </w:p>
  </w:endnote>
  <w:endnote w:type="continuationSeparator" w:id="0">
    <w:p w:rsidR="00C423FC" w:rsidRDefault="00C423FC"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3FC" w:rsidRDefault="00C423FC" w:rsidP="007F33F3">
      <w:r>
        <w:separator/>
      </w:r>
    </w:p>
  </w:footnote>
  <w:footnote w:type="continuationSeparator" w:id="0">
    <w:p w:rsidR="00C423FC" w:rsidRDefault="00C423FC"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0CBC2CD2"/>
    <w:multiLevelType w:val="hybridMultilevel"/>
    <w:tmpl w:val="64C0AE9A"/>
    <w:lvl w:ilvl="0" w:tplc="A96AD9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401E6"/>
    <w:multiLevelType w:val="hybridMultilevel"/>
    <w:tmpl w:val="D26C2D28"/>
    <w:lvl w:ilvl="0" w:tplc="23909E18">
      <w:start w:val="2"/>
      <w:numFmt w:val="decimal"/>
      <w:lvlText w:val="%1."/>
      <w:lvlJc w:val="left"/>
      <w:pPr>
        <w:ind w:left="360" w:hanging="360"/>
      </w:pPr>
      <w:rPr>
        <w:rFonts w:hint="default"/>
        <w:b w:val="0"/>
        <w:bCs w:val="0"/>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A55EF"/>
    <w:multiLevelType w:val="hybridMultilevel"/>
    <w:tmpl w:val="142E95FE"/>
    <w:lvl w:ilvl="0" w:tplc="B1B4EF4E">
      <w:start w:val="14"/>
      <w:numFmt w:val="decimal"/>
      <w:lvlText w:val="%1."/>
      <w:lvlJc w:val="left"/>
      <w:pPr>
        <w:ind w:left="720" w:hanging="36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3"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8423E"/>
    <w:multiLevelType w:val="hybridMultilevel"/>
    <w:tmpl w:val="F6F0F4CC"/>
    <w:lvl w:ilvl="0" w:tplc="03CE2DDE">
      <w:start w:val="1"/>
      <w:numFmt w:val="lowerRoman"/>
      <w:lvlText w:val="(%1)"/>
      <w:lvlJc w:val="left"/>
      <w:pPr>
        <w:ind w:left="1080" w:hanging="720"/>
      </w:pPr>
      <w:rPr>
        <w:rFonts w:ascii="Palatino Linotype" w:eastAsia="Times New Roman" w:hAnsi="Palatino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E7183"/>
    <w:multiLevelType w:val="hybridMultilevel"/>
    <w:tmpl w:val="FA60B65E"/>
    <w:lvl w:ilvl="0" w:tplc="1E54E5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1"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4"/>
  </w:num>
  <w:num w:numId="5">
    <w:abstractNumId w:val="1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0"/>
  </w:num>
  <w:num w:numId="13">
    <w:abstractNumId w:val="20"/>
  </w:num>
  <w:num w:numId="14">
    <w:abstractNumId w:val="7"/>
  </w:num>
  <w:num w:numId="15">
    <w:abstractNumId w:val="18"/>
  </w:num>
  <w:num w:numId="16">
    <w:abstractNumId w:val="8"/>
  </w:num>
  <w:num w:numId="17">
    <w:abstractNumId w:val="22"/>
  </w:num>
  <w:num w:numId="18">
    <w:abstractNumId w:val="11"/>
  </w:num>
  <w:num w:numId="19">
    <w:abstractNumId w:val="6"/>
  </w:num>
  <w:num w:numId="20">
    <w:abstractNumId w:val="5"/>
  </w:num>
  <w:num w:numId="21">
    <w:abstractNumId w:val="14"/>
  </w:num>
  <w:num w:numId="22">
    <w:abstractNumId w:val="1"/>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B0DAF"/>
    <w:rsid w:val="000C1646"/>
    <w:rsid w:val="000E0E3A"/>
    <w:rsid w:val="000E36EA"/>
    <w:rsid w:val="001127B2"/>
    <w:rsid w:val="00130711"/>
    <w:rsid w:val="00140BDC"/>
    <w:rsid w:val="001459DF"/>
    <w:rsid w:val="00147622"/>
    <w:rsid w:val="00161A12"/>
    <w:rsid w:val="00161ABE"/>
    <w:rsid w:val="00162ACC"/>
    <w:rsid w:val="00177B50"/>
    <w:rsid w:val="00192BA5"/>
    <w:rsid w:val="001D1377"/>
    <w:rsid w:val="001E131E"/>
    <w:rsid w:val="001E1A18"/>
    <w:rsid w:val="002002B7"/>
    <w:rsid w:val="00202F2E"/>
    <w:rsid w:val="00213C34"/>
    <w:rsid w:val="00232B68"/>
    <w:rsid w:val="00253D75"/>
    <w:rsid w:val="00253F20"/>
    <w:rsid w:val="00257956"/>
    <w:rsid w:val="002A5E46"/>
    <w:rsid w:val="002B3969"/>
    <w:rsid w:val="002C1608"/>
    <w:rsid w:val="002D7496"/>
    <w:rsid w:val="00314601"/>
    <w:rsid w:val="003155CD"/>
    <w:rsid w:val="0032666A"/>
    <w:rsid w:val="00330790"/>
    <w:rsid w:val="0038799E"/>
    <w:rsid w:val="003A0195"/>
    <w:rsid w:val="003A76E4"/>
    <w:rsid w:val="003C01AF"/>
    <w:rsid w:val="003E0610"/>
    <w:rsid w:val="00406E53"/>
    <w:rsid w:val="00453B91"/>
    <w:rsid w:val="004A4F88"/>
    <w:rsid w:val="004B5911"/>
    <w:rsid w:val="004C3976"/>
    <w:rsid w:val="00520FB0"/>
    <w:rsid w:val="00541FC8"/>
    <w:rsid w:val="005448BC"/>
    <w:rsid w:val="00573416"/>
    <w:rsid w:val="005D1626"/>
    <w:rsid w:val="005D1DD2"/>
    <w:rsid w:val="005D5A6A"/>
    <w:rsid w:val="005F1525"/>
    <w:rsid w:val="00605013"/>
    <w:rsid w:val="00613502"/>
    <w:rsid w:val="0066173F"/>
    <w:rsid w:val="00661896"/>
    <w:rsid w:val="006747FF"/>
    <w:rsid w:val="00676C58"/>
    <w:rsid w:val="006D6A98"/>
    <w:rsid w:val="006F24E1"/>
    <w:rsid w:val="006F33BE"/>
    <w:rsid w:val="00717CFF"/>
    <w:rsid w:val="00757157"/>
    <w:rsid w:val="00771E8D"/>
    <w:rsid w:val="007A5A94"/>
    <w:rsid w:val="007D5BC8"/>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285D"/>
    <w:rsid w:val="009F7602"/>
    <w:rsid w:val="00A31B95"/>
    <w:rsid w:val="00A5456F"/>
    <w:rsid w:val="00A60E42"/>
    <w:rsid w:val="00AA2072"/>
    <w:rsid w:val="00AB16A5"/>
    <w:rsid w:val="00AE5064"/>
    <w:rsid w:val="00B141FF"/>
    <w:rsid w:val="00B324FA"/>
    <w:rsid w:val="00B35A40"/>
    <w:rsid w:val="00B36248"/>
    <w:rsid w:val="00B50B09"/>
    <w:rsid w:val="00B510EB"/>
    <w:rsid w:val="00B63388"/>
    <w:rsid w:val="00B82FE2"/>
    <w:rsid w:val="00BB2C3E"/>
    <w:rsid w:val="00C001ED"/>
    <w:rsid w:val="00C07E00"/>
    <w:rsid w:val="00C24A81"/>
    <w:rsid w:val="00C25671"/>
    <w:rsid w:val="00C26D62"/>
    <w:rsid w:val="00C423FC"/>
    <w:rsid w:val="00C429B2"/>
    <w:rsid w:val="00C47181"/>
    <w:rsid w:val="00C9220B"/>
    <w:rsid w:val="00CA6000"/>
    <w:rsid w:val="00CC4639"/>
    <w:rsid w:val="00CD6207"/>
    <w:rsid w:val="00CF33A9"/>
    <w:rsid w:val="00CF45DE"/>
    <w:rsid w:val="00D134AA"/>
    <w:rsid w:val="00D247C7"/>
    <w:rsid w:val="00D25CA1"/>
    <w:rsid w:val="00D5538B"/>
    <w:rsid w:val="00D57CBB"/>
    <w:rsid w:val="00D63A7C"/>
    <w:rsid w:val="00D831E7"/>
    <w:rsid w:val="00D96D5D"/>
    <w:rsid w:val="00DD56E1"/>
    <w:rsid w:val="00DD6EB7"/>
    <w:rsid w:val="00E334C5"/>
    <w:rsid w:val="00E573F8"/>
    <w:rsid w:val="00E9534D"/>
    <w:rsid w:val="00EA577D"/>
    <w:rsid w:val="00ED6926"/>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243E1C72"/>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nhideWhenUsed/>
    <w:rsid w:val="007F33F3"/>
    <w:pPr>
      <w:tabs>
        <w:tab w:val="center" w:pos="4513"/>
        <w:tab w:val="right" w:pos="9026"/>
      </w:tabs>
    </w:pPr>
  </w:style>
  <w:style w:type="character" w:customStyle="1" w:styleId="HeaderChar">
    <w:name w:val="Header Char"/>
    <w:basedOn w:val="DefaultParagraphFont"/>
    <w:link w:val="Header"/>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4</cp:revision>
  <dcterms:created xsi:type="dcterms:W3CDTF">2022-10-18T11:40:00Z</dcterms:created>
  <dcterms:modified xsi:type="dcterms:W3CDTF">2022-10-18T11:44:00Z</dcterms:modified>
</cp:coreProperties>
</file>