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D00961" w:rsidRDefault="00AB16A5" w:rsidP="00AB16A5">
      <w:pPr>
        <w:pStyle w:val="NormalWeb"/>
        <w:spacing w:line="276" w:lineRule="auto"/>
        <w:jc w:val="center"/>
        <w:rPr>
          <w:rFonts w:ascii="Book Antiqua" w:hAnsi="Book Antiqua"/>
          <w:b/>
          <w:bCs/>
          <w:sz w:val="22"/>
          <w:szCs w:val="22"/>
        </w:rPr>
      </w:pPr>
    </w:p>
    <w:p w:rsidR="005D1DD2" w:rsidRPr="00D00961" w:rsidRDefault="00834E94" w:rsidP="005D1DD2">
      <w:pPr>
        <w:jc w:val="center"/>
        <w:rPr>
          <w:rFonts w:ascii="Book Antiqua" w:hAnsi="Book Antiqua" w:cs="Times New Roman"/>
          <w:b/>
          <w:bCs/>
          <w:sz w:val="22"/>
          <w:szCs w:val="22"/>
        </w:rPr>
      </w:pPr>
      <w:r w:rsidRPr="00D00961">
        <w:rPr>
          <w:rFonts w:ascii="Book Antiqua" w:hAnsi="Book Antiqua" w:cs="Times New Roman"/>
          <w:b/>
          <w:bCs/>
          <w:sz w:val="22"/>
          <w:szCs w:val="22"/>
        </w:rPr>
        <w:t xml:space="preserve">Before </w:t>
      </w:r>
    </w:p>
    <w:p w:rsidR="005D1DD2" w:rsidRPr="00D00961" w:rsidRDefault="005D1DD2" w:rsidP="005D1DD2">
      <w:pPr>
        <w:jc w:val="center"/>
        <w:rPr>
          <w:rFonts w:ascii="Book Antiqua" w:eastAsia="Arial Unicode MS" w:hAnsi="Book Antiqua" w:cs="Times New Roman"/>
          <w:b/>
          <w:bCs/>
          <w:color w:val="000000"/>
          <w:sz w:val="22"/>
          <w:szCs w:val="22"/>
        </w:rPr>
      </w:pPr>
    </w:p>
    <w:p w:rsidR="00D00961" w:rsidRPr="00D00961" w:rsidRDefault="00D00961" w:rsidP="00D00961">
      <w:pPr>
        <w:pStyle w:val="NormalWeb"/>
        <w:spacing w:line="276" w:lineRule="auto"/>
        <w:jc w:val="center"/>
        <w:rPr>
          <w:rFonts w:ascii="Book Antiqua" w:hAnsi="Book Antiqua"/>
          <w:b/>
          <w:bCs/>
          <w:sz w:val="22"/>
          <w:szCs w:val="22"/>
        </w:rPr>
      </w:pPr>
      <w:r w:rsidRPr="00D00961">
        <w:rPr>
          <w:rFonts w:ascii="Book Antiqua" w:hAnsi="Book Antiqua"/>
          <w:b/>
          <w:bCs/>
          <w:sz w:val="22"/>
          <w:szCs w:val="22"/>
        </w:rPr>
        <w:t>Abid Hussain, Executive Director/ Head of Department</w:t>
      </w:r>
    </w:p>
    <w:p w:rsidR="007F33F3" w:rsidRPr="00D00961" w:rsidRDefault="007F33F3" w:rsidP="007F33F3">
      <w:pPr>
        <w:jc w:val="both"/>
        <w:rPr>
          <w:rFonts w:ascii="Book Antiqua" w:hAnsi="Book Antiqua" w:cs="Times New Roman"/>
          <w:b/>
          <w:bCs/>
          <w:sz w:val="22"/>
          <w:szCs w:val="22"/>
          <w:u w:val="single"/>
        </w:rPr>
      </w:pPr>
    </w:p>
    <w:p w:rsidR="00D00961" w:rsidRPr="00801794" w:rsidRDefault="007F33F3" w:rsidP="00D00961">
      <w:pPr>
        <w:tabs>
          <w:tab w:val="left" w:pos="1080"/>
        </w:tabs>
        <w:spacing w:line="276" w:lineRule="auto"/>
        <w:jc w:val="center"/>
        <w:rPr>
          <w:rFonts w:ascii="Book Antiqua" w:hAnsi="Book Antiqua"/>
          <w:b/>
          <w:sz w:val="22"/>
          <w:szCs w:val="22"/>
          <w:u w:val="single"/>
        </w:rPr>
      </w:pPr>
      <w:r w:rsidRPr="00D00961">
        <w:rPr>
          <w:rFonts w:ascii="Book Antiqua" w:hAnsi="Book Antiqua" w:cs="Times New Roman"/>
          <w:b/>
          <w:bCs/>
          <w:sz w:val="22"/>
          <w:szCs w:val="22"/>
          <w:u w:val="single"/>
        </w:rPr>
        <w:t>In the matter of</w:t>
      </w:r>
      <w:r w:rsidR="0088646B" w:rsidRPr="00D00961">
        <w:rPr>
          <w:rFonts w:ascii="Book Antiqua" w:hAnsi="Book Antiqua" w:cs="Times New Roman"/>
          <w:b/>
          <w:bCs/>
          <w:sz w:val="22"/>
          <w:szCs w:val="22"/>
          <w:u w:val="single"/>
        </w:rPr>
        <w:t xml:space="preserve"> Show Cause Notice issued to</w:t>
      </w:r>
      <w:r w:rsidR="00F6183A" w:rsidRPr="00D00961">
        <w:rPr>
          <w:rFonts w:ascii="Book Antiqua" w:hAnsi="Book Antiqua" w:cs="Times New Roman"/>
          <w:b/>
          <w:bCs/>
          <w:sz w:val="22"/>
          <w:szCs w:val="22"/>
          <w:u w:val="single"/>
        </w:rPr>
        <w:t xml:space="preserve"> </w:t>
      </w:r>
      <w:r w:rsidR="00801794" w:rsidRPr="00801794">
        <w:rPr>
          <w:rFonts w:ascii="Book Antiqua" w:hAnsi="Book Antiqua"/>
          <w:b/>
          <w:sz w:val="22"/>
          <w:szCs w:val="22"/>
          <w:u w:val="single"/>
        </w:rPr>
        <w:t>Fatima Fertilizer Company Limited</w:t>
      </w:r>
    </w:p>
    <w:p w:rsidR="005D1DD2" w:rsidRPr="00D00961" w:rsidRDefault="005D1DD2" w:rsidP="005D1DD2">
      <w:pPr>
        <w:tabs>
          <w:tab w:val="left" w:pos="1080"/>
        </w:tabs>
        <w:jc w:val="center"/>
        <w:rPr>
          <w:rFonts w:ascii="Book Antiqua" w:hAnsi="Book Antiqua" w:cs="Times New Roman"/>
          <w:b/>
          <w:sz w:val="22"/>
          <w:szCs w:val="22"/>
        </w:rPr>
      </w:pPr>
    </w:p>
    <w:p w:rsidR="007F33F3" w:rsidRPr="00D00961"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D00961" w:rsidTr="00991511">
        <w:trPr>
          <w:trHeight w:hRule="exact" w:val="965"/>
        </w:trPr>
        <w:tc>
          <w:tcPr>
            <w:tcW w:w="4717" w:type="dxa"/>
            <w:tcBorders>
              <w:bottom w:val="single" w:sz="4" w:space="0" w:color="auto"/>
            </w:tcBorders>
            <w:vAlign w:val="center"/>
          </w:tcPr>
          <w:p w:rsidR="007F33F3" w:rsidRPr="00D00961" w:rsidRDefault="007F33F3" w:rsidP="00991511">
            <w:pPr>
              <w:tabs>
                <w:tab w:val="left" w:pos="9450"/>
              </w:tabs>
              <w:ind w:right="75"/>
              <w:jc w:val="both"/>
              <w:outlineLvl w:val="0"/>
              <w:rPr>
                <w:rFonts w:ascii="Book Antiqua" w:hAnsi="Book Antiqua" w:cs="Times New Roman"/>
                <w:bCs/>
                <w:sz w:val="22"/>
                <w:szCs w:val="22"/>
              </w:rPr>
            </w:pPr>
            <w:r w:rsidRPr="00D00961">
              <w:rPr>
                <w:rFonts w:ascii="Book Antiqua" w:hAnsi="Book Antiqua" w:cs="Times New Roman"/>
                <w:bCs/>
                <w:sz w:val="22"/>
                <w:szCs w:val="22"/>
              </w:rPr>
              <w:t>Dates of Hearing</w:t>
            </w:r>
          </w:p>
        </w:tc>
        <w:tc>
          <w:tcPr>
            <w:tcW w:w="4624" w:type="dxa"/>
            <w:tcBorders>
              <w:bottom w:val="single" w:sz="4" w:space="0" w:color="auto"/>
            </w:tcBorders>
            <w:vAlign w:val="center"/>
          </w:tcPr>
          <w:p w:rsidR="007F33F3" w:rsidRPr="00D00961" w:rsidRDefault="00801794" w:rsidP="00801794">
            <w:pPr>
              <w:pStyle w:val="NormalWeb"/>
              <w:spacing w:line="276" w:lineRule="auto"/>
              <w:ind w:right="-866"/>
              <w:jc w:val="both"/>
              <w:rPr>
                <w:rFonts w:ascii="Book Antiqua" w:hAnsi="Book Antiqua"/>
                <w:sz w:val="22"/>
                <w:szCs w:val="22"/>
              </w:rPr>
            </w:pPr>
            <w:r>
              <w:rPr>
                <w:rFonts w:ascii="Book Antiqua" w:hAnsi="Book Antiqua"/>
                <w:sz w:val="22"/>
                <w:szCs w:val="22"/>
              </w:rPr>
              <w:t xml:space="preserve">September 15, 2022 and </w:t>
            </w:r>
            <w:r w:rsidRPr="0025029C">
              <w:rPr>
                <w:rFonts w:ascii="Book Antiqua" w:hAnsi="Book Antiqua"/>
                <w:sz w:val="22"/>
                <w:szCs w:val="22"/>
              </w:rPr>
              <w:t xml:space="preserve">September </w:t>
            </w:r>
            <w:r>
              <w:rPr>
                <w:rFonts w:ascii="Book Antiqua" w:hAnsi="Book Antiqua"/>
                <w:sz w:val="22"/>
                <w:szCs w:val="22"/>
              </w:rPr>
              <w:t>23</w:t>
            </w:r>
            <w:r w:rsidRPr="0025029C">
              <w:rPr>
                <w:rFonts w:ascii="Book Antiqua" w:hAnsi="Book Antiqua"/>
                <w:sz w:val="22"/>
                <w:szCs w:val="22"/>
              </w:rPr>
              <w:t>, 2022</w:t>
            </w:r>
          </w:p>
        </w:tc>
      </w:tr>
    </w:tbl>
    <w:p w:rsidR="007F33F3" w:rsidRPr="00D00961" w:rsidRDefault="007F33F3" w:rsidP="007F33F3">
      <w:pPr>
        <w:jc w:val="both"/>
        <w:rPr>
          <w:rFonts w:ascii="Book Antiqua" w:hAnsi="Book Antiqua" w:cs="Times New Roman"/>
          <w:b/>
          <w:sz w:val="22"/>
          <w:szCs w:val="22"/>
        </w:rPr>
      </w:pPr>
    </w:p>
    <w:p w:rsidR="007F33F3" w:rsidRPr="00D00961" w:rsidRDefault="007F33F3" w:rsidP="007F33F3">
      <w:pPr>
        <w:jc w:val="center"/>
        <w:rPr>
          <w:rFonts w:ascii="Book Antiqua" w:hAnsi="Book Antiqua" w:cs="Times New Roman"/>
          <w:b/>
          <w:sz w:val="22"/>
          <w:szCs w:val="22"/>
        </w:rPr>
      </w:pPr>
      <w:r w:rsidRPr="00D00961">
        <w:rPr>
          <w:rFonts w:ascii="Book Antiqua" w:hAnsi="Book Antiqua" w:cs="Times New Roman"/>
          <w:b/>
          <w:sz w:val="22"/>
          <w:szCs w:val="22"/>
        </w:rPr>
        <w:t>Order-Redacted Version</w:t>
      </w:r>
    </w:p>
    <w:p w:rsidR="007F33F3" w:rsidRPr="00D00961" w:rsidRDefault="007F33F3" w:rsidP="007F33F3">
      <w:pPr>
        <w:jc w:val="both"/>
        <w:rPr>
          <w:rFonts w:ascii="Book Antiqua" w:hAnsi="Book Antiqua" w:cs="Times New Roman"/>
          <w:sz w:val="22"/>
          <w:szCs w:val="22"/>
          <w:u w:val="single"/>
        </w:rPr>
      </w:pPr>
    </w:p>
    <w:p w:rsidR="007F33F3" w:rsidRPr="00D00961" w:rsidRDefault="00A31B95" w:rsidP="00B63388">
      <w:pPr>
        <w:tabs>
          <w:tab w:val="left" w:pos="1080"/>
        </w:tabs>
        <w:ind w:right="-188"/>
        <w:jc w:val="both"/>
        <w:rPr>
          <w:rFonts w:ascii="Book Antiqua" w:hAnsi="Book Antiqua" w:cs="Times New Roman"/>
          <w:sz w:val="22"/>
          <w:szCs w:val="22"/>
        </w:rPr>
      </w:pPr>
      <w:r w:rsidRPr="00D00961">
        <w:rPr>
          <w:rFonts w:ascii="Book Antiqua" w:hAnsi="Book Antiqua" w:cs="Times New Roman"/>
          <w:sz w:val="22"/>
          <w:szCs w:val="22"/>
        </w:rPr>
        <w:tab/>
      </w:r>
      <w:r w:rsidR="007F33F3" w:rsidRPr="00D00961">
        <w:rPr>
          <w:rFonts w:ascii="Book Antiqua" w:hAnsi="Book Antiqua" w:cs="Times New Roman"/>
          <w:sz w:val="22"/>
          <w:szCs w:val="22"/>
        </w:rPr>
        <w:t xml:space="preserve">Order dated </w:t>
      </w:r>
      <w:r w:rsidR="00801794">
        <w:rPr>
          <w:rFonts w:ascii="Book Antiqua" w:hAnsi="Book Antiqua" w:cs="Times New Roman"/>
          <w:sz w:val="22"/>
          <w:szCs w:val="22"/>
        </w:rPr>
        <w:t>September 29</w:t>
      </w:r>
      <w:r w:rsidR="005D1DD2" w:rsidRPr="00D00961">
        <w:rPr>
          <w:rFonts w:ascii="Book Antiqua" w:hAnsi="Book Antiqua" w:cs="Times New Roman"/>
          <w:sz w:val="22"/>
          <w:szCs w:val="22"/>
        </w:rPr>
        <w:t>, 2022</w:t>
      </w:r>
      <w:r w:rsidR="009043D6" w:rsidRPr="00D00961">
        <w:rPr>
          <w:rFonts w:ascii="Book Antiqua" w:hAnsi="Book Antiqua" w:cs="Times New Roman"/>
          <w:sz w:val="22"/>
          <w:szCs w:val="22"/>
        </w:rPr>
        <w:t xml:space="preserve"> </w:t>
      </w:r>
      <w:r w:rsidR="007F33F3" w:rsidRPr="00D00961">
        <w:rPr>
          <w:rFonts w:ascii="Book Antiqua" w:hAnsi="Book Antiqua" w:cs="Times New Roman"/>
          <w:sz w:val="22"/>
          <w:szCs w:val="22"/>
        </w:rPr>
        <w:t xml:space="preserve">was passed by </w:t>
      </w:r>
      <w:r w:rsidR="0090226E">
        <w:rPr>
          <w:rFonts w:ascii="Book Antiqua" w:hAnsi="Book Antiqua" w:cs="Times New Roman"/>
          <w:sz w:val="22"/>
          <w:szCs w:val="22"/>
        </w:rPr>
        <w:t>Execu</w:t>
      </w:r>
      <w:bookmarkStart w:id="0" w:name="_GoBack"/>
      <w:bookmarkEnd w:id="0"/>
      <w:r w:rsidR="0090226E">
        <w:rPr>
          <w:rFonts w:ascii="Book Antiqua" w:hAnsi="Book Antiqua" w:cs="Times New Roman"/>
          <w:sz w:val="22"/>
          <w:szCs w:val="22"/>
        </w:rPr>
        <w:t xml:space="preserve">tive </w:t>
      </w:r>
      <w:r w:rsidR="007F33F3" w:rsidRPr="00D00961">
        <w:rPr>
          <w:rFonts w:ascii="Book Antiqua" w:hAnsi="Book Antiqua" w:cs="Times New Roman"/>
          <w:sz w:val="22"/>
          <w:szCs w:val="22"/>
        </w:rPr>
        <w:t>Director/Head of Department (Adjudication-I) in the matter of</w:t>
      </w:r>
      <w:r w:rsidR="009043D6" w:rsidRPr="00D00961">
        <w:rPr>
          <w:rFonts w:ascii="Book Antiqua" w:hAnsi="Book Antiqua" w:cs="Times New Roman"/>
          <w:sz w:val="22"/>
          <w:szCs w:val="22"/>
        </w:rPr>
        <w:t xml:space="preserve"> </w:t>
      </w:r>
      <w:r w:rsidR="00801794">
        <w:rPr>
          <w:rFonts w:ascii="Book Antiqua" w:hAnsi="Book Antiqua"/>
          <w:sz w:val="22"/>
          <w:szCs w:val="22"/>
        </w:rPr>
        <w:t>Fatima Fertilizer Company</w:t>
      </w:r>
      <w:r w:rsidR="00801794" w:rsidRPr="0025029C">
        <w:rPr>
          <w:rFonts w:ascii="Book Antiqua" w:hAnsi="Book Antiqua"/>
          <w:sz w:val="22"/>
          <w:szCs w:val="22"/>
        </w:rPr>
        <w:t xml:space="preserve"> Limited</w:t>
      </w:r>
      <w:r w:rsidR="007F33F3" w:rsidRPr="00D00961">
        <w:rPr>
          <w:rFonts w:ascii="Book Antiqua" w:hAnsi="Book Antiqua" w:cs="Times New Roman"/>
          <w:sz w:val="22"/>
          <w:szCs w:val="22"/>
        </w:rPr>
        <w:t>. Relevant details are given as hereunder:</w:t>
      </w:r>
    </w:p>
    <w:p w:rsidR="007F33F3" w:rsidRPr="00D00961"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D00961" w:rsidTr="00991511">
        <w:tc>
          <w:tcPr>
            <w:tcW w:w="2605" w:type="dxa"/>
          </w:tcPr>
          <w:p w:rsidR="007F33F3" w:rsidRPr="00D00961" w:rsidRDefault="007F33F3" w:rsidP="00991511">
            <w:pPr>
              <w:jc w:val="center"/>
              <w:rPr>
                <w:rFonts w:ascii="Book Antiqua" w:hAnsi="Book Antiqua" w:cs="Times New Roman"/>
                <w:b/>
                <w:sz w:val="22"/>
                <w:szCs w:val="22"/>
              </w:rPr>
            </w:pPr>
            <w:r w:rsidRPr="00D00961">
              <w:rPr>
                <w:rFonts w:ascii="Book Antiqua" w:hAnsi="Book Antiqua" w:cs="Times New Roman"/>
                <w:b/>
                <w:sz w:val="22"/>
                <w:szCs w:val="22"/>
              </w:rPr>
              <w:t>Nature</w:t>
            </w:r>
          </w:p>
        </w:tc>
        <w:tc>
          <w:tcPr>
            <w:tcW w:w="6660" w:type="dxa"/>
          </w:tcPr>
          <w:p w:rsidR="007F33F3" w:rsidRPr="00D00961" w:rsidRDefault="007F33F3" w:rsidP="00991511">
            <w:pPr>
              <w:jc w:val="center"/>
              <w:rPr>
                <w:rFonts w:ascii="Book Antiqua" w:hAnsi="Book Antiqua" w:cs="Times New Roman"/>
                <w:b/>
                <w:sz w:val="22"/>
                <w:szCs w:val="22"/>
              </w:rPr>
            </w:pPr>
            <w:r w:rsidRPr="00D00961">
              <w:rPr>
                <w:rFonts w:ascii="Book Antiqua" w:hAnsi="Book Antiqua" w:cs="Times New Roman"/>
                <w:b/>
                <w:sz w:val="22"/>
                <w:szCs w:val="22"/>
              </w:rPr>
              <w:t>Details</w:t>
            </w:r>
          </w:p>
        </w:tc>
      </w:tr>
      <w:tr w:rsidR="007F33F3" w:rsidRPr="00D00961" w:rsidTr="00991511">
        <w:tc>
          <w:tcPr>
            <w:tcW w:w="2605" w:type="dxa"/>
          </w:tcPr>
          <w:p w:rsidR="007F33F3" w:rsidRPr="00D00961" w:rsidRDefault="007F33F3" w:rsidP="007F33F3">
            <w:pPr>
              <w:pStyle w:val="NoSpacing"/>
              <w:numPr>
                <w:ilvl w:val="0"/>
                <w:numId w:val="1"/>
              </w:numPr>
              <w:ind w:left="334" w:hanging="334"/>
              <w:rPr>
                <w:rFonts w:ascii="Book Antiqua" w:hAnsi="Book Antiqua" w:cs="Times New Roman"/>
                <w:sz w:val="22"/>
                <w:szCs w:val="22"/>
              </w:rPr>
            </w:pPr>
            <w:r w:rsidRPr="00D00961">
              <w:rPr>
                <w:rFonts w:ascii="Book Antiqua" w:hAnsi="Book Antiqua" w:cs="Times New Roman"/>
                <w:sz w:val="22"/>
                <w:szCs w:val="22"/>
              </w:rPr>
              <w:t>Date of Action</w:t>
            </w:r>
          </w:p>
          <w:p w:rsidR="007F33F3" w:rsidRPr="00D00961" w:rsidRDefault="007F33F3" w:rsidP="00991511">
            <w:pPr>
              <w:jc w:val="both"/>
              <w:rPr>
                <w:rFonts w:ascii="Book Antiqua" w:hAnsi="Book Antiqua" w:cs="Times New Roman"/>
                <w:sz w:val="22"/>
                <w:szCs w:val="22"/>
              </w:rPr>
            </w:pPr>
          </w:p>
        </w:tc>
        <w:tc>
          <w:tcPr>
            <w:tcW w:w="6660" w:type="dxa"/>
          </w:tcPr>
          <w:p w:rsidR="007F33F3" w:rsidRPr="00D00961" w:rsidRDefault="007F33F3" w:rsidP="00991511">
            <w:pPr>
              <w:jc w:val="both"/>
              <w:rPr>
                <w:rFonts w:ascii="Book Antiqua" w:hAnsi="Book Antiqua" w:cs="Times New Roman"/>
                <w:sz w:val="22"/>
                <w:szCs w:val="22"/>
              </w:rPr>
            </w:pPr>
            <w:r w:rsidRPr="00D00961">
              <w:rPr>
                <w:rFonts w:ascii="Book Antiqua" w:hAnsi="Book Antiqua" w:cs="Times New Roman"/>
                <w:sz w:val="22"/>
                <w:szCs w:val="22"/>
              </w:rPr>
              <w:t xml:space="preserve">Show cause notice dated </w:t>
            </w:r>
            <w:r w:rsidR="00801794">
              <w:rPr>
                <w:rFonts w:ascii="Book Antiqua" w:hAnsi="Book Antiqua"/>
                <w:sz w:val="22"/>
                <w:szCs w:val="22"/>
              </w:rPr>
              <w:t>August 12</w:t>
            </w:r>
            <w:r w:rsidR="00801794" w:rsidRPr="0025029C">
              <w:rPr>
                <w:rFonts w:ascii="Book Antiqua" w:hAnsi="Book Antiqua"/>
                <w:sz w:val="22"/>
                <w:szCs w:val="22"/>
              </w:rPr>
              <w:t>, 2022</w:t>
            </w:r>
          </w:p>
        </w:tc>
      </w:tr>
      <w:tr w:rsidR="007F33F3" w:rsidRPr="00D00961" w:rsidTr="00991511">
        <w:tc>
          <w:tcPr>
            <w:tcW w:w="2605" w:type="dxa"/>
          </w:tcPr>
          <w:p w:rsidR="007F33F3" w:rsidRPr="00D00961" w:rsidRDefault="007F33F3" w:rsidP="007F33F3">
            <w:pPr>
              <w:pStyle w:val="NoSpacing"/>
              <w:numPr>
                <w:ilvl w:val="0"/>
                <w:numId w:val="1"/>
              </w:numPr>
              <w:ind w:left="334" w:hanging="334"/>
              <w:rPr>
                <w:rFonts w:ascii="Book Antiqua" w:hAnsi="Book Antiqua" w:cs="Times New Roman"/>
                <w:sz w:val="22"/>
                <w:szCs w:val="22"/>
              </w:rPr>
            </w:pPr>
            <w:r w:rsidRPr="00D00961">
              <w:rPr>
                <w:rFonts w:ascii="Book Antiqua" w:hAnsi="Book Antiqua" w:cs="Times New Roman"/>
                <w:sz w:val="22"/>
                <w:szCs w:val="22"/>
              </w:rPr>
              <w:t>Name of Company</w:t>
            </w:r>
          </w:p>
          <w:p w:rsidR="007F33F3" w:rsidRPr="00D00961" w:rsidRDefault="007F33F3" w:rsidP="00991511">
            <w:pPr>
              <w:jc w:val="both"/>
              <w:rPr>
                <w:rFonts w:ascii="Book Antiqua" w:hAnsi="Book Antiqua" w:cs="Times New Roman"/>
                <w:sz w:val="22"/>
                <w:szCs w:val="22"/>
              </w:rPr>
            </w:pPr>
          </w:p>
        </w:tc>
        <w:tc>
          <w:tcPr>
            <w:tcW w:w="6660" w:type="dxa"/>
          </w:tcPr>
          <w:p w:rsidR="007F33F3" w:rsidRPr="00D00961" w:rsidRDefault="00801794" w:rsidP="00991511">
            <w:pPr>
              <w:jc w:val="both"/>
              <w:rPr>
                <w:rFonts w:ascii="Book Antiqua" w:hAnsi="Book Antiqua" w:cs="Times New Roman"/>
                <w:sz w:val="22"/>
                <w:szCs w:val="22"/>
              </w:rPr>
            </w:pPr>
            <w:r>
              <w:rPr>
                <w:rFonts w:ascii="Book Antiqua" w:hAnsi="Book Antiqua"/>
                <w:sz w:val="22"/>
                <w:szCs w:val="22"/>
              </w:rPr>
              <w:t>Fatima Fertilizer Company</w:t>
            </w:r>
            <w:r w:rsidRPr="0025029C">
              <w:rPr>
                <w:rFonts w:ascii="Book Antiqua" w:hAnsi="Book Antiqua"/>
                <w:sz w:val="22"/>
                <w:szCs w:val="22"/>
              </w:rPr>
              <w:t xml:space="preserve"> Limited</w:t>
            </w:r>
          </w:p>
        </w:tc>
      </w:tr>
      <w:tr w:rsidR="00FD6E1D" w:rsidRPr="00D00961" w:rsidTr="00991511">
        <w:tc>
          <w:tcPr>
            <w:tcW w:w="2605" w:type="dxa"/>
          </w:tcPr>
          <w:p w:rsidR="00FD6E1D" w:rsidRPr="00D00961" w:rsidRDefault="00FD6E1D" w:rsidP="00FD6E1D">
            <w:pPr>
              <w:pStyle w:val="NoSpacing"/>
              <w:numPr>
                <w:ilvl w:val="0"/>
                <w:numId w:val="1"/>
              </w:numPr>
              <w:ind w:left="334" w:hanging="334"/>
              <w:rPr>
                <w:rFonts w:ascii="Book Antiqua" w:hAnsi="Book Antiqua" w:cs="Times New Roman"/>
                <w:sz w:val="22"/>
                <w:szCs w:val="22"/>
              </w:rPr>
            </w:pPr>
            <w:r w:rsidRPr="00D00961">
              <w:rPr>
                <w:rFonts w:ascii="Book Antiqua" w:hAnsi="Book Antiqua" w:cs="Times New Roman"/>
                <w:sz w:val="22"/>
                <w:szCs w:val="22"/>
              </w:rPr>
              <w:t xml:space="preserve">Name of Individual </w:t>
            </w:r>
          </w:p>
        </w:tc>
        <w:tc>
          <w:tcPr>
            <w:tcW w:w="6660" w:type="dxa"/>
          </w:tcPr>
          <w:p w:rsidR="00FD6E1D" w:rsidRPr="00D00961" w:rsidRDefault="00FD6E1D" w:rsidP="00FD6E1D">
            <w:pPr>
              <w:jc w:val="both"/>
              <w:rPr>
                <w:rFonts w:ascii="Book Antiqua" w:hAnsi="Book Antiqua" w:cs="Times New Roman"/>
                <w:sz w:val="22"/>
                <w:szCs w:val="22"/>
              </w:rPr>
            </w:pPr>
            <w:r w:rsidRPr="00D00961">
              <w:rPr>
                <w:rFonts w:ascii="Book Antiqua" w:hAnsi="Book Antiqua" w:cs="Times New Roman"/>
                <w:sz w:val="22"/>
                <w:szCs w:val="22"/>
              </w:rPr>
              <w:t>The proceedings were initiated against the</w:t>
            </w:r>
            <w:r w:rsidR="00834E94" w:rsidRPr="00D00961">
              <w:rPr>
                <w:rFonts w:ascii="Book Antiqua" w:hAnsi="Book Antiqua" w:cs="Times New Roman"/>
                <w:sz w:val="22"/>
                <w:szCs w:val="22"/>
              </w:rPr>
              <w:t xml:space="preserve"> </w:t>
            </w:r>
            <w:r w:rsidR="00801794">
              <w:rPr>
                <w:rFonts w:ascii="Book Antiqua" w:hAnsi="Book Antiqua" w:cs="Times New Roman"/>
                <w:sz w:val="22"/>
                <w:szCs w:val="22"/>
              </w:rPr>
              <w:t xml:space="preserve">directors of the </w:t>
            </w:r>
            <w:r w:rsidRPr="00D00961">
              <w:rPr>
                <w:rFonts w:ascii="Book Antiqua" w:hAnsi="Book Antiqua" w:cs="Times New Roman"/>
                <w:sz w:val="22"/>
                <w:szCs w:val="22"/>
              </w:rPr>
              <w:t xml:space="preserve">Company </w:t>
            </w:r>
          </w:p>
        </w:tc>
      </w:tr>
      <w:tr w:rsidR="00FD6E1D" w:rsidRPr="00D00961" w:rsidTr="00991511">
        <w:tc>
          <w:tcPr>
            <w:tcW w:w="2605" w:type="dxa"/>
          </w:tcPr>
          <w:p w:rsidR="00FD6E1D" w:rsidRPr="00D00961" w:rsidRDefault="00FD6E1D" w:rsidP="00FD6E1D">
            <w:pPr>
              <w:pStyle w:val="NoSpacing"/>
              <w:numPr>
                <w:ilvl w:val="0"/>
                <w:numId w:val="1"/>
              </w:numPr>
              <w:ind w:left="334" w:hanging="334"/>
              <w:rPr>
                <w:rFonts w:ascii="Book Antiqua" w:hAnsi="Book Antiqua" w:cs="Times New Roman"/>
                <w:sz w:val="22"/>
                <w:szCs w:val="22"/>
              </w:rPr>
            </w:pPr>
            <w:r w:rsidRPr="00D00961">
              <w:rPr>
                <w:rFonts w:ascii="Book Antiqua" w:hAnsi="Book Antiqua" w:cs="Times New Roman"/>
                <w:sz w:val="22"/>
                <w:szCs w:val="22"/>
              </w:rPr>
              <w:t>Nature of Offence</w:t>
            </w:r>
          </w:p>
          <w:p w:rsidR="00FD6E1D" w:rsidRPr="00D00961" w:rsidRDefault="00FD6E1D" w:rsidP="00FD6E1D">
            <w:pPr>
              <w:jc w:val="both"/>
              <w:rPr>
                <w:rFonts w:ascii="Book Antiqua" w:hAnsi="Book Antiqua" w:cs="Times New Roman"/>
                <w:sz w:val="22"/>
                <w:szCs w:val="22"/>
              </w:rPr>
            </w:pPr>
          </w:p>
        </w:tc>
        <w:tc>
          <w:tcPr>
            <w:tcW w:w="6660" w:type="dxa"/>
          </w:tcPr>
          <w:p w:rsidR="00FD6E1D" w:rsidRPr="00801794" w:rsidRDefault="00FD6E1D" w:rsidP="00FD6E1D">
            <w:pPr>
              <w:jc w:val="both"/>
              <w:rPr>
                <w:rFonts w:ascii="Book Antiqua" w:hAnsi="Book Antiqua"/>
                <w:sz w:val="22"/>
                <w:szCs w:val="22"/>
              </w:rPr>
            </w:pPr>
            <w:r w:rsidRPr="00801794">
              <w:rPr>
                <w:rFonts w:ascii="Book Antiqua" w:hAnsi="Book Antiqua" w:cs="Times New Roman"/>
                <w:sz w:val="22"/>
                <w:szCs w:val="22"/>
              </w:rPr>
              <w:t xml:space="preserve">Proceedings were initiated in terms of </w:t>
            </w:r>
            <w:r w:rsidR="00801794" w:rsidRPr="00801794">
              <w:rPr>
                <w:rFonts w:ascii="Book Antiqua" w:hAnsi="Book Antiqua"/>
                <w:sz w:val="22"/>
                <w:szCs w:val="22"/>
              </w:rPr>
              <w:t>Section 155 of the Companies Act, 2017 read with Sections 169 thereof</w:t>
            </w:r>
            <w:r w:rsidR="00D00961" w:rsidRPr="00801794">
              <w:rPr>
                <w:rFonts w:ascii="Book Antiqua" w:hAnsi="Book Antiqua"/>
                <w:sz w:val="22"/>
                <w:szCs w:val="22"/>
              </w:rPr>
              <w:t>.</w:t>
            </w:r>
          </w:p>
          <w:p w:rsidR="00D00961" w:rsidRPr="00801794" w:rsidRDefault="00D00961" w:rsidP="00FD6E1D">
            <w:pPr>
              <w:jc w:val="both"/>
              <w:rPr>
                <w:rFonts w:ascii="Book Antiqua" w:hAnsi="Book Antiqua" w:cs="Times New Roman"/>
                <w:sz w:val="22"/>
                <w:szCs w:val="22"/>
              </w:rPr>
            </w:pPr>
          </w:p>
          <w:p w:rsidR="00801794" w:rsidRPr="00801794" w:rsidRDefault="00801794" w:rsidP="00801794">
            <w:pPr>
              <w:pStyle w:val="BodyText"/>
              <w:tabs>
                <w:tab w:val="left" w:pos="0"/>
              </w:tabs>
              <w:jc w:val="both"/>
              <w:rPr>
                <w:rFonts w:ascii="Book Antiqua" w:hAnsi="Book Antiqua"/>
                <w:sz w:val="22"/>
                <w:szCs w:val="22"/>
              </w:rPr>
            </w:pPr>
            <w:r w:rsidRPr="00801794">
              <w:rPr>
                <w:rFonts w:ascii="Book Antiqua" w:hAnsi="Book Antiqua"/>
                <w:sz w:val="22"/>
                <w:szCs w:val="22"/>
              </w:rPr>
              <w:t>Brief facts of the case are that M/s Yousaf Adil, Chartered Accountant (</w:t>
            </w:r>
            <w:r w:rsidRPr="00801794">
              <w:rPr>
                <w:rFonts w:ascii="Book Antiqua" w:hAnsi="Book Antiqua"/>
                <w:b/>
                <w:sz w:val="22"/>
                <w:szCs w:val="22"/>
              </w:rPr>
              <w:t>the Auditor</w:t>
            </w:r>
            <w:r w:rsidRPr="00801794">
              <w:rPr>
                <w:rFonts w:ascii="Book Antiqua" w:hAnsi="Book Antiqua"/>
                <w:sz w:val="22"/>
                <w:szCs w:val="22"/>
              </w:rPr>
              <w:t>) in its Review Report on the Statement of Compliance (</w:t>
            </w:r>
            <w:r w:rsidRPr="00801794">
              <w:rPr>
                <w:rFonts w:ascii="Book Antiqua" w:hAnsi="Book Antiqua"/>
                <w:b/>
                <w:sz w:val="22"/>
                <w:szCs w:val="22"/>
              </w:rPr>
              <w:t>SOC</w:t>
            </w:r>
            <w:r w:rsidRPr="00801794">
              <w:rPr>
                <w:rFonts w:ascii="Book Antiqua" w:hAnsi="Book Antiqua"/>
                <w:sz w:val="22"/>
                <w:szCs w:val="22"/>
              </w:rPr>
              <w:t>) contained in the Listed Companies (Code of Corporate Governance) Regulations, 2019 (</w:t>
            </w:r>
            <w:r w:rsidRPr="00801794">
              <w:rPr>
                <w:rFonts w:ascii="Book Antiqua" w:hAnsi="Book Antiqua"/>
                <w:b/>
                <w:sz w:val="22"/>
                <w:szCs w:val="22"/>
              </w:rPr>
              <w:t>CCG Regulations</w:t>
            </w:r>
            <w:r w:rsidRPr="00801794">
              <w:rPr>
                <w:rFonts w:ascii="Book Antiqua" w:hAnsi="Book Antiqua"/>
                <w:sz w:val="22"/>
                <w:szCs w:val="22"/>
              </w:rPr>
              <w:t xml:space="preserve">) of the Company reported that: </w:t>
            </w:r>
          </w:p>
          <w:p w:rsidR="00801794" w:rsidRPr="00801794" w:rsidRDefault="00801794" w:rsidP="00801794">
            <w:pPr>
              <w:pStyle w:val="BodyText"/>
              <w:tabs>
                <w:tab w:val="left" w:pos="0"/>
              </w:tabs>
              <w:ind w:left="720"/>
              <w:rPr>
                <w:rFonts w:ascii="Book Antiqua" w:hAnsi="Book Antiqua"/>
                <w:i/>
                <w:sz w:val="22"/>
                <w:szCs w:val="22"/>
              </w:rPr>
            </w:pPr>
            <w:r w:rsidRPr="00801794">
              <w:rPr>
                <w:rFonts w:ascii="Book Antiqua" w:hAnsi="Book Antiqua"/>
                <w:i/>
                <w:sz w:val="22"/>
                <w:szCs w:val="22"/>
              </w:rPr>
              <w:t>“the requirement of two independent directors was not in compliance as at reporting date due to casual vacancy which was complied with subsequent to year end by new appointment”.</w:t>
            </w:r>
          </w:p>
          <w:p w:rsidR="005D1DD2" w:rsidRPr="00801794" w:rsidRDefault="00801794" w:rsidP="00801794">
            <w:pPr>
              <w:pStyle w:val="BodyText"/>
              <w:tabs>
                <w:tab w:val="left" w:pos="0"/>
              </w:tabs>
              <w:jc w:val="both"/>
              <w:rPr>
                <w:rFonts w:ascii="Book Antiqua" w:hAnsi="Book Antiqua"/>
                <w:sz w:val="22"/>
                <w:szCs w:val="22"/>
              </w:rPr>
            </w:pPr>
            <w:r w:rsidRPr="00801794">
              <w:rPr>
                <w:rFonts w:ascii="Book Antiqua" w:hAnsi="Book Antiqua"/>
                <w:sz w:val="22"/>
                <w:szCs w:val="22"/>
              </w:rPr>
              <w:t xml:space="preserve">On perusal of record, it was revealed that the casual vacancy on the Board of the Company occurred on June 08, 2021 due to resignation of Ms. Anja Elisabeth Nielsen (independent director) and subsequently filled up on February 25, 2022 through appointment of Ms. Malika </w:t>
            </w:r>
            <w:proofErr w:type="spellStart"/>
            <w:r w:rsidRPr="00801794">
              <w:rPr>
                <w:rFonts w:ascii="Book Antiqua" w:hAnsi="Book Antiqua"/>
                <w:sz w:val="22"/>
                <w:szCs w:val="22"/>
              </w:rPr>
              <w:t>Nait</w:t>
            </w:r>
            <w:proofErr w:type="spellEnd"/>
            <w:r w:rsidRPr="00801794">
              <w:rPr>
                <w:rFonts w:ascii="Book Antiqua" w:hAnsi="Book Antiqua"/>
                <w:sz w:val="22"/>
                <w:szCs w:val="22"/>
              </w:rPr>
              <w:t xml:space="preserve"> </w:t>
            </w:r>
            <w:proofErr w:type="spellStart"/>
            <w:r w:rsidRPr="00801794">
              <w:rPr>
                <w:rFonts w:ascii="Book Antiqua" w:hAnsi="Book Antiqua"/>
                <w:sz w:val="22"/>
                <w:szCs w:val="22"/>
              </w:rPr>
              <w:t>Oukhedou</w:t>
            </w:r>
            <w:proofErr w:type="spellEnd"/>
            <w:r w:rsidRPr="00801794">
              <w:rPr>
                <w:rFonts w:ascii="Book Antiqua" w:hAnsi="Book Antiqua"/>
                <w:sz w:val="22"/>
                <w:szCs w:val="22"/>
              </w:rPr>
              <w:t xml:space="preserve"> (independent director) i.e. with a delay of 172 days (5 months and 22 days), in contravention of to the requirement of section 155(3) of the Act.</w:t>
            </w:r>
          </w:p>
        </w:tc>
      </w:tr>
      <w:tr w:rsidR="00FD6E1D" w:rsidRPr="00D00961" w:rsidTr="00991511">
        <w:tc>
          <w:tcPr>
            <w:tcW w:w="2605" w:type="dxa"/>
          </w:tcPr>
          <w:p w:rsidR="00FD6E1D" w:rsidRPr="00D00961" w:rsidRDefault="00FD6E1D" w:rsidP="00FD6E1D">
            <w:pPr>
              <w:pStyle w:val="NoSpacing"/>
              <w:numPr>
                <w:ilvl w:val="0"/>
                <w:numId w:val="1"/>
              </w:numPr>
              <w:ind w:left="334"/>
              <w:rPr>
                <w:rFonts w:ascii="Book Antiqua" w:hAnsi="Book Antiqua" w:cs="Times New Roman"/>
                <w:sz w:val="22"/>
                <w:szCs w:val="22"/>
              </w:rPr>
            </w:pPr>
            <w:r w:rsidRPr="00D00961">
              <w:rPr>
                <w:rFonts w:ascii="Book Antiqua" w:hAnsi="Book Antiqua" w:cs="Times New Roman"/>
                <w:sz w:val="22"/>
                <w:szCs w:val="22"/>
              </w:rPr>
              <w:t>Action Taken</w:t>
            </w:r>
          </w:p>
          <w:p w:rsidR="00FD6E1D" w:rsidRPr="00D00961" w:rsidRDefault="00FD6E1D" w:rsidP="00FD6E1D">
            <w:pPr>
              <w:jc w:val="both"/>
              <w:rPr>
                <w:rFonts w:ascii="Book Antiqua" w:hAnsi="Book Antiqua" w:cs="Times New Roman"/>
                <w:sz w:val="22"/>
                <w:szCs w:val="22"/>
              </w:rPr>
            </w:pPr>
          </w:p>
        </w:tc>
        <w:tc>
          <w:tcPr>
            <w:tcW w:w="6660" w:type="dxa"/>
          </w:tcPr>
          <w:p w:rsidR="00963191" w:rsidRPr="00D00961"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D00961">
              <w:rPr>
                <w:rFonts w:ascii="Book Antiqua" w:hAnsi="Book Antiqua" w:cs="Times New Roman"/>
                <w:sz w:val="22"/>
                <w:szCs w:val="22"/>
              </w:rPr>
              <w:t>Key findings were reported in the following manner:</w:t>
            </w:r>
          </w:p>
          <w:p w:rsidR="00D00961" w:rsidRDefault="00D00961" w:rsidP="00D00961">
            <w:pPr>
              <w:pStyle w:val="ListParagraph"/>
              <w:widowControl w:val="0"/>
              <w:autoSpaceDE w:val="0"/>
              <w:autoSpaceDN w:val="0"/>
              <w:adjustRightInd w:val="0"/>
              <w:spacing w:line="276" w:lineRule="auto"/>
              <w:ind w:left="0" w:right="-45"/>
              <w:jc w:val="both"/>
              <w:rPr>
                <w:rFonts w:ascii="Book Antiqua" w:hAnsi="Book Antiqua"/>
                <w:sz w:val="22"/>
                <w:szCs w:val="22"/>
              </w:rPr>
            </w:pPr>
          </w:p>
          <w:p w:rsidR="00801794" w:rsidRDefault="00801794" w:rsidP="00801794">
            <w:pPr>
              <w:pStyle w:val="ListParagraph"/>
              <w:widowControl w:val="0"/>
              <w:autoSpaceDE w:val="0"/>
              <w:autoSpaceDN w:val="0"/>
              <w:adjustRightInd w:val="0"/>
              <w:spacing w:line="276" w:lineRule="auto"/>
              <w:ind w:left="0" w:right="-45"/>
              <w:jc w:val="both"/>
              <w:rPr>
                <w:rFonts w:ascii="Book Antiqua" w:hAnsi="Book Antiqua"/>
                <w:sz w:val="22"/>
                <w:szCs w:val="22"/>
              </w:rPr>
            </w:pPr>
            <w:r w:rsidRPr="0025029C">
              <w:rPr>
                <w:rFonts w:ascii="Book Antiqua" w:hAnsi="Book Antiqua"/>
                <w:sz w:val="22"/>
                <w:szCs w:val="22"/>
              </w:rPr>
              <w:lastRenderedPageBreak/>
              <w:t xml:space="preserve">I have gone through the facts of case and considered both the written and </w:t>
            </w:r>
            <w:r>
              <w:rPr>
                <w:rFonts w:ascii="Book Antiqua" w:hAnsi="Book Antiqua"/>
                <w:sz w:val="22"/>
                <w:szCs w:val="22"/>
              </w:rPr>
              <w:t xml:space="preserve">verbal </w:t>
            </w:r>
            <w:r w:rsidRPr="0025029C">
              <w:rPr>
                <w:rFonts w:ascii="Book Antiqua" w:hAnsi="Book Antiqua"/>
                <w:sz w:val="22"/>
                <w:szCs w:val="22"/>
              </w:rPr>
              <w:t xml:space="preserve">submissions of the Respondents in light of the aforementioned legal provisions and record placed before me and state that </w:t>
            </w:r>
            <w:r>
              <w:rPr>
                <w:rFonts w:ascii="Book Antiqua" w:hAnsi="Book Antiqua"/>
                <w:sz w:val="22"/>
                <w:szCs w:val="22"/>
              </w:rPr>
              <w:t xml:space="preserve">as per the available record there was a casual vacancy as of June 08, 2021 and was required to be filled within ninety days i.e.  September 05, 2021 to ensure compliance with section 155(3) of the Act. However, the Company filled in the casual vacancy with a delay of one hundred and seventy two (172) days on February 25, 2022. </w:t>
            </w:r>
            <w:r w:rsidRPr="0025029C">
              <w:rPr>
                <w:rFonts w:ascii="Book Antiqua" w:hAnsi="Book Antiqua"/>
                <w:sz w:val="22"/>
                <w:szCs w:val="22"/>
              </w:rPr>
              <w:t>The Respondents have acknowledged non-compliance of Section 15</w:t>
            </w:r>
            <w:r>
              <w:rPr>
                <w:rFonts w:ascii="Book Antiqua" w:hAnsi="Book Antiqua"/>
                <w:sz w:val="22"/>
                <w:szCs w:val="22"/>
              </w:rPr>
              <w:t>5</w:t>
            </w:r>
            <w:r w:rsidRPr="0025029C">
              <w:rPr>
                <w:rFonts w:ascii="Book Antiqua" w:hAnsi="Book Antiqua"/>
                <w:sz w:val="22"/>
                <w:szCs w:val="22"/>
              </w:rPr>
              <w:t xml:space="preserve"> of the Act </w:t>
            </w:r>
            <w:r>
              <w:rPr>
                <w:rFonts w:ascii="Book Antiqua" w:hAnsi="Book Antiqua"/>
                <w:sz w:val="22"/>
                <w:szCs w:val="22"/>
              </w:rPr>
              <w:t xml:space="preserve">with a plea that  the Company, to add value, wanted to appoint one director nominated by the technology provider on its Board. Ms. Anja Elisabeth Nielsen was the nominee of Company’s plants technology provider and the technology provider took extra time for nominating her replacement thus making the delay beyond control of the Respondents and the Company. </w:t>
            </w:r>
          </w:p>
          <w:p w:rsidR="00801794" w:rsidRDefault="00801794" w:rsidP="00801794">
            <w:pPr>
              <w:pStyle w:val="ListParagraph"/>
              <w:widowControl w:val="0"/>
              <w:autoSpaceDE w:val="0"/>
              <w:autoSpaceDN w:val="0"/>
              <w:adjustRightInd w:val="0"/>
              <w:spacing w:line="276" w:lineRule="auto"/>
              <w:ind w:left="0" w:right="-45"/>
              <w:jc w:val="both"/>
              <w:rPr>
                <w:rFonts w:ascii="Book Antiqua" w:hAnsi="Book Antiqua"/>
                <w:sz w:val="22"/>
                <w:szCs w:val="22"/>
              </w:rPr>
            </w:pPr>
          </w:p>
          <w:p w:rsidR="005D1DD2" w:rsidRPr="00801794" w:rsidRDefault="00801794" w:rsidP="00801794">
            <w:pPr>
              <w:pStyle w:val="ListParagraph"/>
              <w:widowControl w:val="0"/>
              <w:autoSpaceDE w:val="0"/>
              <w:autoSpaceDN w:val="0"/>
              <w:adjustRightInd w:val="0"/>
              <w:spacing w:line="276" w:lineRule="auto"/>
              <w:ind w:left="0" w:right="-45"/>
              <w:jc w:val="both"/>
              <w:rPr>
                <w:rFonts w:ascii="Book Antiqua" w:hAnsi="Book Antiqua"/>
                <w:sz w:val="22"/>
                <w:szCs w:val="22"/>
              </w:rPr>
            </w:pPr>
            <w:r w:rsidRPr="007469B9">
              <w:rPr>
                <w:rFonts w:ascii="Book Antiqua" w:hAnsi="Book Antiqua"/>
                <w:sz w:val="22"/>
                <w:szCs w:val="22"/>
              </w:rPr>
              <w:t xml:space="preserve">It is stated that contravention of </w:t>
            </w:r>
            <w:r>
              <w:rPr>
                <w:rFonts w:ascii="Book Antiqua" w:hAnsi="Book Antiqua"/>
                <w:sz w:val="22"/>
                <w:szCs w:val="22"/>
              </w:rPr>
              <w:t>s</w:t>
            </w:r>
            <w:r w:rsidRPr="007469B9">
              <w:rPr>
                <w:rFonts w:ascii="Book Antiqua" w:hAnsi="Book Antiqua"/>
                <w:sz w:val="22"/>
                <w:szCs w:val="22"/>
              </w:rPr>
              <w:t>ection 1</w:t>
            </w:r>
            <w:r>
              <w:rPr>
                <w:rFonts w:ascii="Book Antiqua" w:hAnsi="Book Antiqua"/>
                <w:sz w:val="22"/>
                <w:szCs w:val="22"/>
              </w:rPr>
              <w:t>55</w:t>
            </w:r>
            <w:r w:rsidRPr="007469B9">
              <w:rPr>
                <w:rFonts w:ascii="Book Antiqua" w:hAnsi="Book Antiqua"/>
                <w:sz w:val="22"/>
                <w:szCs w:val="22"/>
              </w:rPr>
              <w:t xml:space="preserve"> of the Act, at the relevant point of time, has been established and </w:t>
            </w:r>
            <w:r>
              <w:rPr>
                <w:rFonts w:ascii="Book Antiqua" w:hAnsi="Book Antiqua"/>
                <w:sz w:val="22"/>
                <w:szCs w:val="22"/>
              </w:rPr>
              <w:t xml:space="preserve">the </w:t>
            </w:r>
            <w:r w:rsidRPr="007469B9">
              <w:rPr>
                <w:rFonts w:ascii="Book Antiqua" w:hAnsi="Book Antiqua"/>
                <w:sz w:val="22"/>
                <w:szCs w:val="22"/>
              </w:rPr>
              <w:t xml:space="preserve">same has been admitted by the Respondents as well. </w:t>
            </w:r>
            <w:r w:rsidRPr="007469B9">
              <w:rPr>
                <w:rFonts w:ascii="Book Antiqua" w:hAnsi="Book Antiqua"/>
                <w:color w:val="000000" w:themeColor="text1"/>
                <w:sz w:val="22"/>
                <w:szCs w:val="22"/>
              </w:rPr>
              <w:t xml:space="preserve">However, keeping in view </w:t>
            </w:r>
            <w:r>
              <w:rPr>
                <w:rFonts w:ascii="Book Antiqua" w:hAnsi="Book Antiqua"/>
                <w:color w:val="000000" w:themeColor="text1"/>
                <w:sz w:val="22"/>
                <w:szCs w:val="22"/>
              </w:rPr>
              <w:t xml:space="preserve">of </w:t>
            </w:r>
            <w:r w:rsidRPr="007469B9">
              <w:rPr>
                <w:rFonts w:ascii="Book Antiqua" w:hAnsi="Book Antiqua"/>
                <w:color w:val="000000" w:themeColor="text1"/>
                <w:sz w:val="22"/>
                <w:szCs w:val="22"/>
              </w:rPr>
              <w:t xml:space="preserve">the </w:t>
            </w:r>
            <w:r>
              <w:rPr>
                <w:rFonts w:ascii="Book Antiqua" w:hAnsi="Book Antiqua"/>
                <w:color w:val="000000" w:themeColor="text1"/>
                <w:sz w:val="22"/>
                <w:szCs w:val="22"/>
              </w:rPr>
              <w:t xml:space="preserve">fact that the delay was caused due to extra time taken by the technology provider for nominating the replacement director and the </w:t>
            </w:r>
            <w:r w:rsidRPr="007469B9">
              <w:rPr>
                <w:rFonts w:ascii="Book Antiqua" w:hAnsi="Book Antiqua"/>
                <w:color w:val="000000" w:themeColor="text1"/>
                <w:sz w:val="22"/>
                <w:szCs w:val="22"/>
              </w:rPr>
              <w:t>fact that non-compliance has now been ratified</w:t>
            </w:r>
            <w:r>
              <w:rPr>
                <w:rFonts w:ascii="Book Antiqua" w:hAnsi="Book Antiqua"/>
                <w:sz w:val="22"/>
                <w:szCs w:val="22"/>
              </w:rPr>
              <w:t xml:space="preserve">, taking a lenient view, </w:t>
            </w:r>
            <w:r w:rsidRPr="0025029C">
              <w:rPr>
                <w:rFonts w:ascii="Book Antiqua" w:hAnsi="Book Antiqua"/>
                <w:sz w:val="22"/>
                <w:szCs w:val="22"/>
              </w:rPr>
              <w:t xml:space="preserve">I, </w:t>
            </w:r>
            <w:r>
              <w:rPr>
                <w:rFonts w:ascii="Book Antiqua" w:hAnsi="Book Antiqua"/>
                <w:sz w:val="22"/>
                <w:szCs w:val="22"/>
              </w:rPr>
              <w:t xml:space="preserve">hereby close the case with warning to all Respondents to ensure meticulous compliance of the provisions of the law in future.  </w:t>
            </w:r>
          </w:p>
          <w:p w:rsidR="005D1DD2" w:rsidRPr="00D00961" w:rsidRDefault="005D1DD2" w:rsidP="005D1DD2">
            <w:pPr>
              <w:pStyle w:val="ListParagraph"/>
              <w:ind w:left="0"/>
              <w:contextualSpacing w:val="0"/>
              <w:jc w:val="both"/>
              <w:rPr>
                <w:rFonts w:ascii="Book Antiqua" w:hAnsi="Book Antiqua" w:cs="Times New Roman"/>
                <w:sz w:val="22"/>
                <w:szCs w:val="22"/>
              </w:rPr>
            </w:pPr>
          </w:p>
          <w:p w:rsidR="00213C34" w:rsidRPr="00D00961" w:rsidRDefault="00A25F60" w:rsidP="00A25F60">
            <w:pPr>
              <w:pStyle w:val="ListParagraph"/>
              <w:ind w:left="0"/>
              <w:contextualSpacing w:val="0"/>
              <w:jc w:val="both"/>
              <w:rPr>
                <w:rFonts w:ascii="Book Antiqua" w:hAnsi="Book Antiqua" w:cs="Times New Roman"/>
                <w:sz w:val="22"/>
                <w:szCs w:val="22"/>
              </w:rPr>
            </w:pPr>
            <w:r w:rsidRPr="0025029C">
              <w:rPr>
                <w:rFonts w:ascii="Book Antiqua" w:hAnsi="Book Antiqua"/>
                <w:sz w:val="22"/>
                <w:szCs w:val="22"/>
              </w:rPr>
              <w:t>Nothing in this Order may be deemed to prejudice the operation of any provision of the Act providing for imposition of penalties in respect of any default, omission, violation of the Act.</w:t>
            </w:r>
          </w:p>
        </w:tc>
      </w:tr>
      <w:tr w:rsidR="00FD6E1D" w:rsidRPr="00D00961" w:rsidTr="00991511">
        <w:tc>
          <w:tcPr>
            <w:tcW w:w="2605" w:type="dxa"/>
          </w:tcPr>
          <w:p w:rsidR="00FD6E1D" w:rsidRPr="00D00961" w:rsidRDefault="00FD6E1D" w:rsidP="00FD6E1D">
            <w:pPr>
              <w:pStyle w:val="NoSpacing"/>
              <w:numPr>
                <w:ilvl w:val="0"/>
                <w:numId w:val="1"/>
              </w:numPr>
              <w:ind w:left="340"/>
              <w:rPr>
                <w:rFonts w:ascii="Book Antiqua" w:hAnsi="Book Antiqua" w:cs="Times New Roman"/>
                <w:sz w:val="22"/>
                <w:szCs w:val="22"/>
              </w:rPr>
            </w:pPr>
            <w:r w:rsidRPr="00D00961">
              <w:rPr>
                <w:rFonts w:ascii="Book Antiqua" w:hAnsi="Book Antiqua" w:cs="Times New Roman"/>
                <w:sz w:val="22"/>
                <w:szCs w:val="22"/>
              </w:rPr>
              <w:lastRenderedPageBreak/>
              <w:t>Penalty Imposed</w:t>
            </w:r>
          </w:p>
          <w:p w:rsidR="00FD6E1D" w:rsidRPr="00D00961" w:rsidRDefault="00FD6E1D" w:rsidP="00FD6E1D">
            <w:pPr>
              <w:jc w:val="both"/>
              <w:rPr>
                <w:rFonts w:ascii="Book Antiqua" w:hAnsi="Book Antiqua" w:cs="Times New Roman"/>
                <w:sz w:val="22"/>
                <w:szCs w:val="22"/>
              </w:rPr>
            </w:pPr>
          </w:p>
        </w:tc>
        <w:tc>
          <w:tcPr>
            <w:tcW w:w="6660" w:type="dxa"/>
          </w:tcPr>
          <w:p w:rsidR="00FD6E1D" w:rsidRPr="00D00961" w:rsidRDefault="00D328FD" w:rsidP="00FD6E1D">
            <w:pPr>
              <w:jc w:val="both"/>
              <w:rPr>
                <w:rFonts w:ascii="Book Antiqua" w:hAnsi="Book Antiqua" w:cs="Times New Roman"/>
                <w:sz w:val="22"/>
                <w:szCs w:val="22"/>
              </w:rPr>
            </w:pPr>
            <w:r>
              <w:rPr>
                <w:rFonts w:ascii="Book Antiqua" w:eastAsia="Calibri" w:hAnsi="Book Antiqua"/>
                <w:b/>
                <w:color w:val="000000" w:themeColor="text1"/>
                <w:sz w:val="22"/>
                <w:szCs w:val="22"/>
              </w:rPr>
              <w:t>No penalty has been imposed on the respondents.</w:t>
            </w:r>
          </w:p>
        </w:tc>
      </w:tr>
      <w:tr w:rsidR="00FD6E1D" w:rsidRPr="00D00961" w:rsidTr="00991511">
        <w:tc>
          <w:tcPr>
            <w:tcW w:w="2605" w:type="dxa"/>
          </w:tcPr>
          <w:p w:rsidR="00FD6E1D" w:rsidRPr="00D00961" w:rsidRDefault="00FD6E1D" w:rsidP="00D00961">
            <w:pPr>
              <w:pStyle w:val="ListParagraph"/>
              <w:numPr>
                <w:ilvl w:val="0"/>
                <w:numId w:val="1"/>
              </w:numPr>
              <w:ind w:left="334"/>
              <w:rPr>
                <w:rFonts w:ascii="Book Antiqua" w:hAnsi="Book Antiqua" w:cs="Times New Roman"/>
                <w:sz w:val="22"/>
                <w:szCs w:val="22"/>
              </w:rPr>
            </w:pPr>
            <w:r w:rsidRPr="00D00961">
              <w:rPr>
                <w:rFonts w:ascii="Book Antiqua" w:hAnsi="Book Antiqua" w:cs="Times New Roman"/>
                <w:sz w:val="22"/>
                <w:szCs w:val="22"/>
              </w:rPr>
              <w:t>Current Status of Order</w:t>
            </w:r>
          </w:p>
        </w:tc>
        <w:tc>
          <w:tcPr>
            <w:tcW w:w="6660" w:type="dxa"/>
          </w:tcPr>
          <w:p w:rsidR="00FD6E1D" w:rsidRPr="00D00961" w:rsidRDefault="006D6A98" w:rsidP="00FD6E1D">
            <w:pPr>
              <w:jc w:val="both"/>
              <w:rPr>
                <w:rFonts w:ascii="Book Antiqua" w:hAnsi="Book Antiqua" w:cs="Times New Roman"/>
                <w:sz w:val="22"/>
                <w:szCs w:val="22"/>
              </w:rPr>
            </w:pPr>
            <w:r w:rsidRPr="00D00961">
              <w:rPr>
                <w:rFonts w:ascii="Book Antiqua" w:hAnsi="Book Antiqua" w:cs="Times New Roman"/>
                <w:sz w:val="22"/>
                <w:szCs w:val="22"/>
              </w:rPr>
              <w:t xml:space="preserve">No </w:t>
            </w:r>
            <w:r w:rsidR="00FD6E1D" w:rsidRPr="00D00961">
              <w:rPr>
                <w:rFonts w:ascii="Book Antiqua" w:hAnsi="Book Antiqua" w:cs="Times New Roman"/>
                <w:sz w:val="22"/>
                <w:szCs w:val="22"/>
              </w:rPr>
              <w:t>Appeal has been filed by the respondents.</w:t>
            </w:r>
          </w:p>
        </w:tc>
      </w:tr>
    </w:tbl>
    <w:p w:rsidR="007F33F3" w:rsidRPr="00D00961" w:rsidRDefault="007F33F3" w:rsidP="007F33F3">
      <w:pPr>
        <w:ind w:firstLine="720"/>
        <w:jc w:val="both"/>
        <w:rPr>
          <w:rFonts w:ascii="Book Antiqua" w:hAnsi="Book Antiqua" w:cs="Times New Roman"/>
          <w:sz w:val="22"/>
          <w:szCs w:val="22"/>
        </w:rPr>
      </w:pPr>
    </w:p>
    <w:p w:rsidR="00C429B2" w:rsidRPr="00D00961" w:rsidRDefault="00C429B2" w:rsidP="007F33F3">
      <w:pPr>
        <w:rPr>
          <w:rFonts w:ascii="Book Antiqua" w:hAnsi="Book Antiqua" w:cs="Times New Roman"/>
          <w:sz w:val="22"/>
          <w:szCs w:val="22"/>
        </w:rPr>
      </w:pPr>
    </w:p>
    <w:sectPr w:rsidR="00C429B2" w:rsidRPr="00D00961"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0B7" w:rsidRDefault="006D60B7" w:rsidP="007F33F3">
      <w:r>
        <w:separator/>
      </w:r>
    </w:p>
  </w:endnote>
  <w:endnote w:type="continuationSeparator" w:id="0">
    <w:p w:rsidR="006D60B7" w:rsidRDefault="006D60B7"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0B7" w:rsidRDefault="006D60B7" w:rsidP="007F33F3">
      <w:r>
        <w:separator/>
      </w:r>
    </w:p>
  </w:footnote>
  <w:footnote w:type="continuationSeparator" w:id="0">
    <w:p w:rsidR="006D60B7" w:rsidRDefault="006D60B7"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8"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0"/>
  </w:num>
  <w:num w:numId="13">
    <w:abstractNumId w:val="13"/>
  </w:num>
  <w:num w:numId="14">
    <w:abstractNumId w:val="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B0DAF"/>
    <w:rsid w:val="000C1646"/>
    <w:rsid w:val="000E0E3A"/>
    <w:rsid w:val="001127B2"/>
    <w:rsid w:val="00130711"/>
    <w:rsid w:val="001459DF"/>
    <w:rsid w:val="00147622"/>
    <w:rsid w:val="00161A12"/>
    <w:rsid w:val="00161ABE"/>
    <w:rsid w:val="00162ACC"/>
    <w:rsid w:val="001D1377"/>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406E53"/>
    <w:rsid w:val="00453B91"/>
    <w:rsid w:val="004A4F88"/>
    <w:rsid w:val="004C3976"/>
    <w:rsid w:val="00520FB0"/>
    <w:rsid w:val="00541FC8"/>
    <w:rsid w:val="005448BC"/>
    <w:rsid w:val="00573416"/>
    <w:rsid w:val="00573FA1"/>
    <w:rsid w:val="005D1626"/>
    <w:rsid w:val="005D1DD2"/>
    <w:rsid w:val="005D5A6A"/>
    <w:rsid w:val="005F1525"/>
    <w:rsid w:val="00613502"/>
    <w:rsid w:val="0066173F"/>
    <w:rsid w:val="00661896"/>
    <w:rsid w:val="00676C58"/>
    <w:rsid w:val="006D60B7"/>
    <w:rsid w:val="006D6A98"/>
    <w:rsid w:val="006F24E1"/>
    <w:rsid w:val="006F33BE"/>
    <w:rsid w:val="00717CFF"/>
    <w:rsid w:val="00757157"/>
    <w:rsid w:val="007A5A94"/>
    <w:rsid w:val="007F33F3"/>
    <w:rsid w:val="007F3BC4"/>
    <w:rsid w:val="007F53DA"/>
    <w:rsid w:val="00801794"/>
    <w:rsid w:val="00834E94"/>
    <w:rsid w:val="00841378"/>
    <w:rsid w:val="00850AE8"/>
    <w:rsid w:val="00880D90"/>
    <w:rsid w:val="0088646B"/>
    <w:rsid w:val="008907DD"/>
    <w:rsid w:val="00893D8C"/>
    <w:rsid w:val="008B20DE"/>
    <w:rsid w:val="008B3B13"/>
    <w:rsid w:val="008C3A32"/>
    <w:rsid w:val="008D6B6C"/>
    <w:rsid w:val="0090226E"/>
    <w:rsid w:val="0090286D"/>
    <w:rsid w:val="009043D6"/>
    <w:rsid w:val="00920772"/>
    <w:rsid w:val="009315F4"/>
    <w:rsid w:val="0093606F"/>
    <w:rsid w:val="00963191"/>
    <w:rsid w:val="0098591D"/>
    <w:rsid w:val="009866C5"/>
    <w:rsid w:val="009A21F3"/>
    <w:rsid w:val="009E22B6"/>
    <w:rsid w:val="009F7602"/>
    <w:rsid w:val="00A25F60"/>
    <w:rsid w:val="00A31B95"/>
    <w:rsid w:val="00A5456F"/>
    <w:rsid w:val="00AA2072"/>
    <w:rsid w:val="00AB16A5"/>
    <w:rsid w:val="00AE5064"/>
    <w:rsid w:val="00AF3455"/>
    <w:rsid w:val="00B324FA"/>
    <w:rsid w:val="00B50B09"/>
    <w:rsid w:val="00B510EB"/>
    <w:rsid w:val="00B63388"/>
    <w:rsid w:val="00B82FE2"/>
    <w:rsid w:val="00BB2C3E"/>
    <w:rsid w:val="00C001ED"/>
    <w:rsid w:val="00C05FA6"/>
    <w:rsid w:val="00C07E00"/>
    <w:rsid w:val="00C26D62"/>
    <w:rsid w:val="00C429B2"/>
    <w:rsid w:val="00C47181"/>
    <w:rsid w:val="00C9220B"/>
    <w:rsid w:val="00CC4639"/>
    <w:rsid w:val="00CD6207"/>
    <w:rsid w:val="00CF33A9"/>
    <w:rsid w:val="00CF45DE"/>
    <w:rsid w:val="00D00961"/>
    <w:rsid w:val="00D134AA"/>
    <w:rsid w:val="00D25CA1"/>
    <w:rsid w:val="00D328FD"/>
    <w:rsid w:val="00D5538B"/>
    <w:rsid w:val="00D63A7C"/>
    <w:rsid w:val="00D831E7"/>
    <w:rsid w:val="00D9756F"/>
    <w:rsid w:val="00DD56E1"/>
    <w:rsid w:val="00E334C5"/>
    <w:rsid w:val="00EA577D"/>
    <w:rsid w:val="00ED6926"/>
    <w:rsid w:val="00F421CF"/>
    <w:rsid w:val="00F6183A"/>
    <w:rsid w:val="00F73569"/>
    <w:rsid w:val="00F74156"/>
    <w:rsid w:val="00FB09A9"/>
    <w:rsid w:val="00FC436C"/>
    <w:rsid w:val="00FD6E1D"/>
    <w:rsid w:val="00FE3A8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1A92FFDB"/>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iPriority w:val="99"/>
    <w:unhideWhenUsed/>
    <w:rsid w:val="007F33F3"/>
    <w:pPr>
      <w:tabs>
        <w:tab w:val="center" w:pos="4513"/>
        <w:tab w:val="right" w:pos="9026"/>
      </w:tabs>
    </w:pPr>
  </w:style>
  <w:style w:type="character" w:customStyle="1" w:styleId="HeaderChar">
    <w:name w:val="Header Char"/>
    <w:basedOn w:val="DefaultParagraphFont"/>
    <w:link w:val="Header"/>
    <w:uiPriority w:val="99"/>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3</cp:revision>
  <dcterms:created xsi:type="dcterms:W3CDTF">2022-10-17T07:24:00Z</dcterms:created>
  <dcterms:modified xsi:type="dcterms:W3CDTF">2022-10-17T07:36:00Z</dcterms:modified>
</cp:coreProperties>
</file>