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DA12B8">
      <w:pPr>
        <w:pStyle w:val="NormalWeb"/>
        <w:spacing w:line="276" w:lineRule="auto"/>
        <w:jc w:val="center"/>
        <w:rPr>
          <w:rFonts w:ascii="Book Antiqua" w:hAnsi="Book Antiqua"/>
          <w:b/>
          <w:bCs/>
          <w:sz w:val="22"/>
          <w:szCs w:val="22"/>
        </w:rPr>
      </w:pPr>
    </w:p>
    <w:p w:rsidR="005D1DD2" w:rsidRPr="003E0610" w:rsidRDefault="00834E94" w:rsidP="00DA12B8">
      <w:pPr>
        <w:spacing w:line="276" w:lineRule="auto"/>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DA12B8">
      <w:pPr>
        <w:spacing w:line="276" w:lineRule="auto"/>
        <w:jc w:val="center"/>
        <w:rPr>
          <w:rFonts w:ascii="Book Antiqua" w:eastAsia="Arial Unicode MS" w:hAnsi="Book Antiqua" w:cs="Times New Roman"/>
          <w:b/>
          <w:bCs/>
          <w:color w:val="000000"/>
          <w:sz w:val="22"/>
          <w:szCs w:val="22"/>
        </w:rPr>
      </w:pPr>
    </w:p>
    <w:p w:rsidR="005D1DD2" w:rsidRPr="003E0610" w:rsidRDefault="005D1DD2" w:rsidP="00DA12B8">
      <w:pPr>
        <w:spacing w:line="276" w:lineRule="auto"/>
        <w:jc w:val="center"/>
        <w:rPr>
          <w:rFonts w:ascii="Book Antiqua" w:eastAsia="Arial Unicode MS" w:hAnsi="Book Antiqua" w:cs="Times New Roman"/>
          <w:b/>
          <w:bCs/>
          <w:color w:val="000000"/>
          <w:sz w:val="22"/>
          <w:szCs w:val="22"/>
        </w:rPr>
      </w:pPr>
      <w:r w:rsidRPr="003E0610">
        <w:rPr>
          <w:rFonts w:ascii="Book Antiqua" w:eastAsia="Arial Unicode MS" w:hAnsi="Book Antiqua" w:cs="Times New Roman"/>
          <w:b/>
          <w:bCs/>
          <w:color w:val="000000"/>
          <w:sz w:val="22"/>
          <w:szCs w:val="22"/>
        </w:rPr>
        <w:t>Amir M. Khan Afridi- Director/ Head of Department</w:t>
      </w:r>
    </w:p>
    <w:p w:rsidR="007F33F3" w:rsidRPr="003E0610" w:rsidRDefault="007F33F3" w:rsidP="00DA12B8">
      <w:pPr>
        <w:spacing w:line="276" w:lineRule="auto"/>
        <w:jc w:val="both"/>
        <w:rPr>
          <w:rFonts w:ascii="Book Antiqua" w:hAnsi="Book Antiqua" w:cs="Times New Roman"/>
          <w:b/>
          <w:bCs/>
          <w:sz w:val="22"/>
          <w:szCs w:val="22"/>
          <w:u w:val="single"/>
        </w:rPr>
      </w:pPr>
    </w:p>
    <w:p w:rsidR="005D1DD2" w:rsidRPr="003E0610" w:rsidRDefault="007F33F3" w:rsidP="00DA12B8">
      <w:pPr>
        <w:tabs>
          <w:tab w:val="left" w:pos="1080"/>
        </w:tabs>
        <w:spacing w:line="276" w:lineRule="auto"/>
        <w:jc w:val="center"/>
        <w:rPr>
          <w:rFonts w:ascii="Book Antiqua" w:hAnsi="Book Antiqua" w:cs="Times New Roman"/>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to</w:t>
      </w:r>
      <w:r w:rsidR="00F6183A" w:rsidRPr="003E0610">
        <w:rPr>
          <w:rFonts w:ascii="Book Antiqua" w:hAnsi="Book Antiqua" w:cs="Times New Roman"/>
          <w:b/>
          <w:bCs/>
          <w:sz w:val="22"/>
          <w:szCs w:val="22"/>
          <w:u w:val="single"/>
        </w:rPr>
        <w:t xml:space="preserve"> </w:t>
      </w:r>
      <w:r w:rsidR="00FE6A81" w:rsidRPr="003E0610">
        <w:rPr>
          <w:rFonts w:ascii="Book Antiqua" w:hAnsi="Book Antiqua"/>
          <w:b/>
          <w:bCs/>
          <w:sz w:val="22"/>
          <w:szCs w:val="22"/>
          <w:u w:val="single"/>
        </w:rPr>
        <w:t>International Knitwear Limited</w:t>
      </w:r>
    </w:p>
    <w:p w:rsidR="007F33F3" w:rsidRPr="003E0610" w:rsidRDefault="007F33F3" w:rsidP="00DA12B8">
      <w:pPr>
        <w:tabs>
          <w:tab w:val="left" w:pos="1080"/>
        </w:tabs>
        <w:spacing w:line="276" w:lineRule="auto"/>
        <w:jc w:val="center"/>
        <w:rPr>
          <w:rFonts w:ascii="Book Antiqua" w:hAnsi="Book Antiqua" w:cs="Times New Roman"/>
          <w:b/>
          <w:bCs/>
          <w:sz w:val="22"/>
          <w:szCs w:val="22"/>
          <w:u w:val="single"/>
        </w:rPr>
      </w:pPr>
    </w:p>
    <w:p w:rsidR="007F33F3" w:rsidRPr="003E0610" w:rsidRDefault="007F33F3" w:rsidP="00DA12B8">
      <w:pPr>
        <w:spacing w:line="276" w:lineRule="auto"/>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DA12B8">
            <w:pPr>
              <w:tabs>
                <w:tab w:val="left" w:pos="9450"/>
              </w:tabs>
              <w:spacing w:line="276" w:lineRule="auto"/>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3E0610" w:rsidP="00DA12B8">
            <w:pPr>
              <w:pStyle w:val="NormalWeb"/>
              <w:spacing w:line="276" w:lineRule="auto"/>
              <w:ind w:right="-866"/>
              <w:jc w:val="both"/>
              <w:rPr>
                <w:rFonts w:ascii="Book Antiqua" w:hAnsi="Book Antiqua"/>
                <w:sz w:val="22"/>
                <w:szCs w:val="22"/>
              </w:rPr>
            </w:pPr>
            <w:r w:rsidRPr="003E0610">
              <w:rPr>
                <w:rFonts w:ascii="Book Antiqua" w:hAnsi="Book Antiqua"/>
                <w:sz w:val="22"/>
                <w:szCs w:val="22"/>
              </w:rPr>
              <w:t>June 01, 2022; &amp; July 19, 2022</w:t>
            </w:r>
          </w:p>
        </w:tc>
      </w:tr>
    </w:tbl>
    <w:p w:rsidR="007F33F3" w:rsidRPr="003E0610" w:rsidRDefault="007F33F3" w:rsidP="00DA12B8">
      <w:pPr>
        <w:spacing w:line="276" w:lineRule="auto"/>
        <w:jc w:val="both"/>
        <w:rPr>
          <w:rFonts w:ascii="Book Antiqua" w:hAnsi="Book Antiqua" w:cs="Times New Roman"/>
          <w:b/>
          <w:sz w:val="22"/>
          <w:szCs w:val="22"/>
        </w:rPr>
      </w:pPr>
    </w:p>
    <w:p w:rsidR="007F33F3" w:rsidRPr="003E0610" w:rsidRDefault="007F33F3" w:rsidP="00DA12B8">
      <w:pPr>
        <w:spacing w:line="276" w:lineRule="auto"/>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DA12B8">
      <w:pPr>
        <w:spacing w:line="276" w:lineRule="auto"/>
        <w:jc w:val="both"/>
        <w:rPr>
          <w:rFonts w:ascii="Book Antiqua" w:hAnsi="Book Antiqua" w:cs="Times New Roman"/>
          <w:sz w:val="22"/>
          <w:szCs w:val="22"/>
          <w:u w:val="single"/>
        </w:rPr>
      </w:pPr>
    </w:p>
    <w:p w:rsidR="007F33F3" w:rsidRPr="003E0610" w:rsidRDefault="00A31B95" w:rsidP="00DA12B8">
      <w:pPr>
        <w:tabs>
          <w:tab w:val="left" w:pos="1080"/>
        </w:tabs>
        <w:spacing w:line="276" w:lineRule="auto"/>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F604C5" w:rsidRPr="003E0610">
        <w:rPr>
          <w:rFonts w:ascii="Book Antiqua" w:hAnsi="Book Antiqua" w:cs="Times New Roman"/>
          <w:sz w:val="22"/>
          <w:szCs w:val="22"/>
        </w:rPr>
        <w:t>July 2</w:t>
      </w:r>
      <w:r w:rsidR="00D247C7">
        <w:rPr>
          <w:rFonts w:ascii="Book Antiqua" w:hAnsi="Book Antiqua" w:cs="Times New Roman"/>
          <w:sz w:val="22"/>
          <w:szCs w:val="22"/>
        </w:rPr>
        <w:t>5</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FE6A81" w:rsidRPr="003E0610">
        <w:rPr>
          <w:rFonts w:ascii="Book Antiqua" w:hAnsi="Book Antiqua"/>
          <w:sz w:val="22"/>
          <w:szCs w:val="22"/>
        </w:rPr>
        <w:t>International Knitwear Limited</w:t>
      </w:r>
      <w:r w:rsidR="007F33F3" w:rsidRPr="003E0610">
        <w:rPr>
          <w:rFonts w:ascii="Book Antiqua" w:hAnsi="Book Antiqua" w:cs="Times New Roman"/>
          <w:sz w:val="22"/>
          <w:szCs w:val="22"/>
        </w:rPr>
        <w:t>. Relevant details are given as hereunder:</w:t>
      </w:r>
    </w:p>
    <w:p w:rsidR="007F33F3" w:rsidRPr="003E0610" w:rsidRDefault="007F33F3" w:rsidP="00DA12B8">
      <w:pPr>
        <w:spacing w:line="276" w:lineRule="auto"/>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DA12B8">
            <w:pPr>
              <w:spacing w:line="276" w:lineRule="auto"/>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DA12B8">
            <w:pPr>
              <w:spacing w:line="276" w:lineRule="auto"/>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DA12B8">
            <w:pPr>
              <w:pStyle w:val="NoSpacing"/>
              <w:numPr>
                <w:ilvl w:val="0"/>
                <w:numId w:val="1"/>
              </w:numPr>
              <w:spacing w:line="276" w:lineRule="auto"/>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DA12B8">
            <w:pPr>
              <w:spacing w:line="276" w:lineRule="auto"/>
              <w:jc w:val="both"/>
              <w:rPr>
                <w:rFonts w:ascii="Book Antiqua" w:hAnsi="Book Antiqua" w:cs="Times New Roman"/>
                <w:sz w:val="22"/>
                <w:szCs w:val="22"/>
              </w:rPr>
            </w:pPr>
          </w:p>
        </w:tc>
        <w:tc>
          <w:tcPr>
            <w:tcW w:w="6660" w:type="dxa"/>
          </w:tcPr>
          <w:p w:rsidR="007F33F3" w:rsidRPr="003E0610" w:rsidRDefault="007F33F3" w:rsidP="00DA12B8">
            <w:pPr>
              <w:spacing w:line="276" w:lineRule="auto"/>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3E0610" w:rsidRPr="003E0610">
              <w:rPr>
                <w:rFonts w:ascii="Book Antiqua" w:hAnsi="Book Antiqua"/>
                <w:sz w:val="22"/>
                <w:szCs w:val="22"/>
              </w:rPr>
              <w:t>May 13, 2022</w:t>
            </w:r>
          </w:p>
        </w:tc>
      </w:tr>
      <w:tr w:rsidR="007F33F3" w:rsidRPr="003E0610" w:rsidTr="00991511">
        <w:tc>
          <w:tcPr>
            <w:tcW w:w="2605" w:type="dxa"/>
          </w:tcPr>
          <w:p w:rsidR="007F33F3" w:rsidRPr="003E0610" w:rsidRDefault="007F33F3" w:rsidP="00DA12B8">
            <w:pPr>
              <w:pStyle w:val="NoSpacing"/>
              <w:numPr>
                <w:ilvl w:val="0"/>
                <w:numId w:val="1"/>
              </w:numPr>
              <w:spacing w:line="276" w:lineRule="auto"/>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DA12B8">
            <w:pPr>
              <w:spacing w:line="276" w:lineRule="auto"/>
              <w:jc w:val="both"/>
              <w:rPr>
                <w:rFonts w:ascii="Book Antiqua" w:hAnsi="Book Antiqua" w:cs="Times New Roman"/>
                <w:sz w:val="22"/>
                <w:szCs w:val="22"/>
              </w:rPr>
            </w:pPr>
          </w:p>
        </w:tc>
        <w:tc>
          <w:tcPr>
            <w:tcW w:w="6660" w:type="dxa"/>
          </w:tcPr>
          <w:p w:rsidR="007F33F3" w:rsidRPr="003E0610" w:rsidRDefault="00FE6A81" w:rsidP="00DA12B8">
            <w:pPr>
              <w:spacing w:line="276" w:lineRule="auto"/>
              <w:jc w:val="both"/>
              <w:rPr>
                <w:rFonts w:ascii="Book Antiqua" w:hAnsi="Book Antiqua" w:cs="Times New Roman"/>
                <w:sz w:val="22"/>
                <w:szCs w:val="22"/>
              </w:rPr>
            </w:pPr>
            <w:r w:rsidRPr="003E0610">
              <w:rPr>
                <w:rFonts w:ascii="Book Antiqua" w:hAnsi="Book Antiqua"/>
                <w:sz w:val="22"/>
                <w:szCs w:val="22"/>
              </w:rPr>
              <w:t>International Knitwear Limited</w:t>
            </w:r>
          </w:p>
        </w:tc>
      </w:tr>
      <w:tr w:rsidR="00FD6E1D" w:rsidRPr="003E0610" w:rsidTr="00991511">
        <w:tc>
          <w:tcPr>
            <w:tcW w:w="2605" w:type="dxa"/>
          </w:tcPr>
          <w:p w:rsidR="00FD6E1D" w:rsidRPr="003E0610" w:rsidRDefault="00FD6E1D" w:rsidP="00DA12B8">
            <w:pPr>
              <w:pStyle w:val="NoSpacing"/>
              <w:numPr>
                <w:ilvl w:val="0"/>
                <w:numId w:val="1"/>
              </w:numPr>
              <w:spacing w:line="276" w:lineRule="auto"/>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DA12B8">
            <w:pPr>
              <w:spacing w:line="276" w:lineRule="auto"/>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DA12B8">
            <w:pPr>
              <w:pStyle w:val="NoSpacing"/>
              <w:numPr>
                <w:ilvl w:val="0"/>
                <w:numId w:val="1"/>
              </w:numPr>
              <w:spacing w:line="276" w:lineRule="auto"/>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DA12B8">
            <w:pPr>
              <w:spacing w:line="276" w:lineRule="auto"/>
              <w:jc w:val="both"/>
              <w:rPr>
                <w:rFonts w:ascii="Book Antiqua" w:hAnsi="Book Antiqua" w:cs="Times New Roman"/>
                <w:sz w:val="22"/>
                <w:szCs w:val="22"/>
              </w:rPr>
            </w:pPr>
          </w:p>
        </w:tc>
        <w:tc>
          <w:tcPr>
            <w:tcW w:w="6660" w:type="dxa"/>
          </w:tcPr>
          <w:p w:rsidR="005D1DD2" w:rsidRDefault="00FD6E1D" w:rsidP="00DA12B8">
            <w:pPr>
              <w:spacing w:line="276" w:lineRule="auto"/>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D247C7" w:rsidRPr="007469B9">
              <w:rPr>
                <w:rFonts w:ascii="Book Antiqua" w:hAnsi="Book Antiqua"/>
                <w:sz w:val="22"/>
                <w:szCs w:val="22"/>
              </w:rPr>
              <w:t>Section 166 of the Companies Act, 2017 (</w:t>
            </w:r>
            <w:r w:rsidR="00D247C7" w:rsidRPr="007469B9">
              <w:rPr>
                <w:rFonts w:ascii="Book Antiqua" w:hAnsi="Book Antiqua"/>
                <w:b/>
                <w:sz w:val="22"/>
                <w:szCs w:val="22"/>
              </w:rPr>
              <w:t>the Act</w:t>
            </w:r>
            <w:r w:rsidR="00D247C7" w:rsidRPr="007469B9">
              <w:rPr>
                <w:rFonts w:ascii="Book Antiqua" w:hAnsi="Book Antiqua"/>
                <w:sz w:val="22"/>
                <w:szCs w:val="22"/>
              </w:rPr>
              <w:t>) read with Sections 169 and 479 thereof</w:t>
            </w:r>
          </w:p>
          <w:p w:rsidR="003E0610" w:rsidRPr="003E0610" w:rsidRDefault="003E0610" w:rsidP="00DA12B8">
            <w:pPr>
              <w:spacing w:line="276" w:lineRule="auto"/>
              <w:jc w:val="both"/>
              <w:rPr>
                <w:rFonts w:ascii="Book Antiqua" w:hAnsi="Book Antiqua"/>
                <w:sz w:val="22"/>
                <w:szCs w:val="22"/>
              </w:rPr>
            </w:pPr>
          </w:p>
          <w:p w:rsidR="00605013" w:rsidRDefault="00605013" w:rsidP="00DA12B8">
            <w:pPr>
              <w:pStyle w:val="BodyText"/>
              <w:spacing w:line="276" w:lineRule="auto"/>
              <w:jc w:val="both"/>
              <w:rPr>
                <w:rFonts w:ascii="Book Antiqua" w:hAnsi="Book Antiqua"/>
                <w:sz w:val="22"/>
                <w:szCs w:val="22"/>
              </w:rPr>
            </w:pPr>
            <w:r w:rsidRPr="007469B9">
              <w:rPr>
                <w:rFonts w:ascii="Book Antiqua" w:hAnsi="Book Antiqua"/>
                <w:sz w:val="22"/>
                <w:szCs w:val="22"/>
              </w:rPr>
              <w:t>Brief facts of the case are that record of the Company, available with the Securities and Exchange Commission of Pakistan (</w:t>
            </w:r>
            <w:r w:rsidRPr="007469B9">
              <w:rPr>
                <w:rFonts w:ascii="Book Antiqua" w:hAnsi="Book Antiqua"/>
                <w:b/>
                <w:bCs/>
                <w:sz w:val="22"/>
                <w:szCs w:val="22"/>
              </w:rPr>
              <w:t>the Commission</w:t>
            </w:r>
            <w:r w:rsidRPr="007469B9">
              <w:rPr>
                <w:rFonts w:ascii="Book Antiqua" w:hAnsi="Book Antiqua"/>
                <w:sz w:val="22"/>
                <w:szCs w:val="22"/>
              </w:rPr>
              <w:t xml:space="preserve">) transpired that election of directors of the Company was held on October 27, 2021 wherein two individuals namely Ms. </w:t>
            </w:r>
            <w:r w:rsidR="00DA12B8">
              <w:rPr>
                <w:rFonts w:ascii="Book Antiqua" w:hAnsi="Book Antiqua"/>
                <w:sz w:val="22"/>
                <w:szCs w:val="22"/>
              </w:rPr>
              <w:t>*****</w:t>
            </w:r>
            <w:r w:rsidRPr="007469B9">
              <w:rPr>
                <w:rFonts w:ascii="Book Antiqua" w:hAnsi="Book Antiqua"/>
                <w:sz w:val="22"/>
                <w:szCs w:val="22"/>
              </w:rPr>
              <w:t xml:space="preserve">, and Mr. </w:t>
            </w:r>
            <w:r w:rsidR="00DA12B8">
              <w:rPr>
                <w:rFonts w:ascii="Book Antiqua" w:hAnsi="Book Antiqua"/>
                <w:sz w:val="22"/>
                <w:szCs w:val="22"/>
              </w:rPr>
              <w:t>*****</w:t>
            </w:r>
            <w:r w:rsidRPr="007469B9">
              <w:rPr>
                <w:rFonts w:ascii="Book Antiqua" w:hAnsi="Book Antiqua"/>
                <w:sz w:val="22"/>
                <w:szCs w:val="22"/>
              </w:rPr>
              <w:t xml:space="preserve"> were elected as independent directors on the Board of Directors (</w:t>
            </w:r>
            <w:r w:rsidRPr="007469B9">
              <w:rPr>
                <w:rFonts w:ascii="Book Antiqua" w:hAnsi="Book Antiqua"/>
                <w:b/>
                <w:sz w:val="22"/>
                <w:szCs w:val="22"/>
              </w:rPr>
              <w:t>the Board</w:t>
            </w:r>
            <w:r w:rsidRPr="007469B9">
              <w:rPr>
                <w:rFonts w:ascii="Book Antiqua" w:hAnsi="Book Antiqua"/>
                <w:sz w:val="22"/>
                <w:szCs w:val="22"/>
              </w:rPr>
              <w:t xml:space="preserve">) of the Company. </w:t>
            </w:r>
          </w:p>
          <w:p w:rsidR="003E0610" w:rsidRPr="003E0610" w:rsidRDefault="00605013" w:rsidP="00DA12B8">
            <w:pPr>
              <w:pStyle w:val="BodyText"/>
              <w:spacing w:line="276" w:lineRule="auto"/>
              <w:jc w:val="both"/>
              <w:rPr>
                <w:rFonts w:ascii="Book Antiqua" w:hAnsi="Book Antiqua" w:cs="Times New Roman"/>
                <w:sz w:val="22"/>
                <w:szCs w:val="22"/>
              </w:rPr>
            </w:pPr>
            <w:r w:rsidRPr="007469B9">
              <w:rPr>
                <w:rFonts w:ascii="Book Antiqua" w:hAnsi="Book Antiqua"/>
                <w:sz w:val="22"/>
                <w:szCs w:val="22"/>
              </w:rPr>
              <w:t>The Commission inquired from the Company regarding status of registration/ enrolment of the said two independent directors in the databank maintained by the Pakistan Institute of Corporate Governance (</w:t>
            </w:r>
            <w:r w:rsidRPr="007469B9">
              <w:rPr>
                <w:rFonts w:ascii="Book Antiqua" w:hAnsi="Book Antiqua"/>
                <w:b/>
                <w:sz w:val="22"/>
                <w:szCs w:val="22"/>
              </w:rPr>
              <w:t>the</w:t>
            </w:r>
            <w:r w:rsidRPr="007469B9">
              <w:rPr>
                <w:rFonts w:ascii="Book Antiqua" w:hAnsi="Book Antiqua"/>
                <w:sz w:val="22"/>
                <w:szCs w:val="22"/>
              </w:rPr>
              <w:t xml:space="preserve"> </w:t>
            </w:r>
            <w:r w:rsidRPr="007469B9">
              <w:rPr>
                <w:rFonts w:ascii="Book Antiqua" w:hAnsi="Book Antiqua"/>
                <w:b/>
                <w:sz w:val="22"/>
                <w:szCs w:val="22"/>
              </w:rPr>
              <w:t>PICG</w:t>
            </w:r>
            <w:r w:rsidRPr="007469B9">
              <w:rPr>
                <w:rFonts w:ascii="Book Antiqua" w:hAnsi="Book Antiqua"/>
                <w:sz w:val="22"/>
                <w:szCs w:val="22"/>
              </w:rPr>
              <w:t xml:space="preserve">) for the purpose of appointing qualified individuals as independent directors by the companies in terms of Section 166 of the Act. The Company in its reply vide letter dated </w:t>
            </w:r>
            <w:r w:rsidRPr="007469B9">
              <w:rPr>
                <w:rFonts w:ascii="Book Antiqua" w:hAnsi="Book Antiqua"/>
                <w:sz w:val="22"/>
                <w:szCs w:val="22"/>
              </w:rPr>
              <w:lastRenderedPageBreak/>
              <w:t>March 09, 2022 stated that names of both the aforesaid independent directors are not registered in the databank of PICG</w:t>
            </w:r>
            <w:r w:rsidRPr="007469B9">
              <w:rPr>
                <w:rFonts w:ascii="Book Antiqua" w:hAnsi="Book Antiqua"/>
                <w:iCs/>
                <w:sz w:val="22"/>
                <w:szCs w:val="22"/>
              </w:rPr>
              <w:t xml:space="preserve">, which is contravention of Section 166 of the Act.     </w:t>
            </w:r>
          </w:p>
        </w:tc>
      </w:tr>
      <w:tr w:rsidR="00FD6E1D" w:rsidRPr="003E0610" w:rsidTr="00991511">
        <w:tc>
          <w:tcPr>
            <w:tcW w:w="2605" w:type="dxa"/>
          </w:tcPr>
          <w:p w:rsidR="00FD6E1D" w:rsidRPr="003E0610" w:rsidRDefault="00FD6E1D" w:rsidP="00DA12B8">
            <w:pPr>
              <w:pStyle w:val="NoSpacing"/>
              <w:numPr>
                <w:ilvl w:val="0"/>
                <w:numId w:val="1"/>
              </w:numPr>
              <w:spacing w:line="276" w:lineRule="auto"/>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DA12B8">
            <w:pPr>
              <w:spacing w:line="276" w:lineRule="auto"/>
              <w:jc w:val="both"/>
              <w:rPr>
                <w:rFonts w:ascii="Book Antiqua" w:hAnsi="Book Antiqua" w:cs="Times New Roman"/>
                <w:sz w:val="22"/>
                <w:szCs w:val="22"/>
              </w:rPr>
            </w:pPr>
          </w:p>
        </w:tc>
        <w:tc>
          <w:tcPr>
            <w:tcW w:w="6660" w:type="dxa"/>
          </w:tcPr>
          <w:p w:rsidR="00963191" w:rsidRPr="003E0610" w:rsidRDefault="00963191" w:rsidP="00DA12B8">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DA12B8">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605013" w:rsidRPr="007469B9" w:rsidRDefault="00605013" w:rsidP="00DA12B8">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r w:rsidRPr="007469B9">
              <w:rPr>
                <w:rFonts w:ascii="Book Antiqua" w:hAnsi="Book Antiqua"/>
                <w:sz w:val="22"/>
                <w:szCs w:val="22"/>
              </w:rPr>
              <w:t>I have gone through the facts of the case, considered both the written and oral submissions submitted by the Respondents, in light of the record available with the Commission and the aforementioned legal provisions and state that: (</w:t>
            </w:r>
            <w:proofErr w:type="spellStart"/>
            <w:r w:rsidRPr="007469B9">
              <w:rPr>
                <w:rFonts w:ascii="Book Antiqua" w:hAnsi="Book Antiqua"/>
                <w:sz w:val="22"/>
                <w:szCs w:val="22"/>
              </w:rPr>
              <w:t>i</w:t>
            </w:r>
            <w:proofErr w:type="spellEnd"/>
            <w:r w:rsidRPr="007469B9">
              <w:rPr>
                <w:rFonts w:ascii="Book Antiqua" w:hAnsi="Book Antiqua"/>
                <w:sz w:val="22"/>
                <w:szCs w:val="22"/>
              </w:rPr>
              <w:t xml:space="preserve">) </w:t>
            </w:r>
            <w:r w:rsidRPr="007469B9">
              <w:rPr>
                <w:rFonts w:ascii="Book Antiqua" w:hAnsi="Book Antiqua"/>
                <w:iCs/>
                <w:sz w:val="22"/>
                <w:szCs w:val="22"/>
              </w:rPr>
              <w:t xml:space="preserve">Ms. </w:t>
            </w:r>
            <w:r w:rsidR="00DA12B8">
              <w:rPr>
                <w:rFonts w:ascii="Book Antiqua" w:hAnsi="Book Antiqua"/>
                <w:iCs/>
                <w:sz w:val="22"/>
                <w:szCs w:val="22"/>
              </w:rPr>
              <w:t>*****</w:t>
            </w:r>
            <w:r w:rsidRPr="007469B9">
              <w:rPr>
                <w:rFonts w:ascii="Book Antiqua" w:hAnsi="Book Antiqua"/>
                <w:iCs/>
                <w:sz w:val="22"/>
                <w:szCs w:val="22"/>
              </w:rPr>
              <w:t xml:space="preserve"> and Mr. </w:t>
            </w:r>
            <w:r w:rsidR="00DA12B8">
              <w:rPr>
                <w:rFonts w:ascii="Book Antiqua" w:hAnsi="Book Antiqua"/>
                <w:iCs/>
                <w:sz w:val="22"/>
                <w:szCs w:val="22"/>
              </w:rPr>
              <w:t>*****</w:t>
            </w:r>
            <w:r w:rsidRPr="007469B9">
              <w:rPr>
                <w:rFonts w:ascii="Book Antiqua" w:hAnsi="Book Antiqua"/>
                <w:iCs/>
                <w:sz w:val="22"/>
                <w:szCs w:val="22"/>
              </w:rPr>
              <w:t xml:space="preserve"> </w:t>
            </w:r>
            <w:r w:rsidRPr="007469B9">
              <w:rPr>
                <w:rFonts w:ascii="Book Antiqua" w:hAnsi="Book Antiqua"/>
                <w:sz w:val="22"/>
                <w:szCs w:val="22"/>
              </w:rPr>
              <w:t xml:space="preserve">were elected as independent directors in the election of directors held on October 27, 2021. It was acknowledged that by the Respondents that names of </w:t>
            </w:r>
            <w:r w:rsidRPr="007469B9">
              <w:rPr>
                <w:rFonts w:ascii="Book Antiqua" w:hAnsi="Book Antiqua"/>
                <w:iCs/>
                <w:sz w:val="22"/>
                <w:szCs w:val="22"/>
              </w:rPr>
              <w:t xml:space="preserve">Ms. </w:t>
            </w:r>
            <w:r w:rsidR="00DA12B8">
              <w:rPr>
                <w:rFonts w:ascii="Book Antiqua" w:hAnsi="Book Antiqua"/>
                <w:iCs/>
                <w:sz w:val="22"/>
                <w:szCs w:val="22"/>
              </w:rPr>
              <w:t>*****</w:t>
            </w:r>
            <w:r w:rsidRPr="007469B9">
              <w:rPr>
                <w:rFonts w:ascii="Book Antiqua" w:hAnsi="Book Antiqua"/>
                <w:iCs/>
                <w:sz w:val="22"/>
                <w:szCs w:val="22"/>
              </w:rPr>
              <w:t xml:space="preserve"> and Mr. </w:t>
            </w:r>
            <w:r w:rsidR="00DA12B8">
              <w:rPr>
                <w:rFonts w:ascii="Book Antiqua" w:hAnsi="Book Antiqua"/>
                <w:iCs/>
                <w:sz w:val="22"/>
                <w:szCs w:val="22"/>
              </w:rPr>
              <w:t>*****</w:t>
            </w:r>
            <w:r w:rsidRPr="007469B9">
              <w:rPr>
                <w:rFonts w:ascii="Book Antiqua" w:hAnsi="Book Antiqua"/>
                <w:iCs/>
                <w:sz w:val="22"/>
                <w:szCs w:val="22"/>
              </w:rPr>
              <w:t xml:space="preserve"> were not registered in the databank maintained by PICG at the time of elections, however, after the hearing, the said non-compliances were ratified and evidence of </w:t>
            </w:r>
            <w:r w:rsidRPr="007469B9">
              <w:rPr>
                <w:rFonts w:ascii="Book Antiqua" w:hAnsi="Book Antiqua"/>
                <w:sz w:val="22"/>
                <w:szCs w:val="22"/>
              </w:rPr>
              <w:t xml:space="preserve">registration both </w:t>
            </w:r>
            <w:r w:rsidRPr="007469B9">
              <w:rPr>
                <w:rFonts w:ascii="Book Antiqua" w:hAnsi="Book Antiqua"/>
                <w:iCs/>
                <w:sz w:val="22"/>
                <w:szCs w:val="22"/>
              </w:rPr>
              <w:t xml:space="preserve">Ms. </w:t>
            </w:r>
            <w:r w:rsidR="00DA12B8">
              <w:rPr>
                <w:rFonts w:ascii="Book Antiqua" w:hAnsi="Book Antiqua"/>
                <w:iCs/>
                <w:sz w:val="22"/>
                <w:szCs w:val="22"/>
              </w:rPr>
              <w:t xml:space="preserve">***** </w:t>
            </w:r>
            <w:r w:rsidRPr="007469B9">
              <w:rPr>
                <w:rFonts w:ascii="Book Antiqua" w:hAnsi="Book Antiqua"/>
                <w:iCs/>
                <w:sz w:val="22"/>
                <w:szCs w:val="22"/>
              </w:rPr>
              <w:t xml:space="preserve">and Mr. </w:t>
            </w:r>
            <w:r w:rsidR="00DA12B8">
              <w:rPr>
                <w:rFonts w:ascii="Book Antiqua" w:hAnsi="Book Antiqua"/>
                <w:iCs/>
                <w:sz w:val="22"/>
                <w:szCs w:val="22"/>
              </w:rPr>
              <w:t>*****</w:t>
            </w:r>
            <w:bookmarkStart w:id="0" w:name="_GoBack"/>
            <w:bookmarkEnd w:id="0"/>
            <w:r w:rsidRPr="007469B9">
              <w:rPr>
                <w:rFonts w:ascii="Book Antiqua" w:hAnsi="Book Antiqua"/>
                <w:iCs/>
                <w:sz w:val="22"/>
                <w:szCs w:val="22"/>
              </w:rPr>
              <w:t xml:space="preserve"> </w:t>
            </w:r>
            <w:r w:rsidRPr="007469B9">
              <w:rPr>
                <w:rFonts w:ascii="Book Antiqua" w:hAnsi="Book Antiqua"/>
                <w:sz w:val="22"/>
                <w:szCs w:val="22"/>
              </w:rPr>
              <w:t>in databank of PICG, was provided.</w:t>
            </w:r>
          </w:p>
          <w:p w:rsidR="00605013" w:rsidRPr="007469B9" w:rsidRDefault="00605013" w:rsidP="00DA12B8">
            <w:pPr>
              <w:pStyle w:val="ListParagraph"/>
              <w:widowControl w:val="0"/>
              <w:autoSpaceDE w:val="0"/>
              <w:autoSpaceDN w:val="0"/>
              <w:adjustRightInd w:val="0"/>
              <w:spacing w:line="276" w:lineRule="auto"/>
              <w:ind w:left="0" w:right="-45"/>
              <w:jc w:val="both"/>
              <w:rPr>
                <w:rFonts w:ascii="Book Antiqua" w:hAnsi="Book Antiqua"/>
                <w:sz w:val="22"/>
                <w:szCs w:val="22"/>
              </w:rPr>
            </w:pPr>
          </w:p>
          <w:p w:rsidR="00F604C5" w:rsidRPr="003E0610" w:rsidRDefault="00605013" w:rsidP="00DA12B8">
            <w:pPr>
              <w:pStyle w:val="ListParagraph"/>
              <w:spacing w:line="276" w:lineRule="auto"/>
              <w:ind w:left="0"/>
              <w:contextualSpacing w:val="0"/>
              <w:jc w:val="both"/>
              <w:rPr>
                <w:rFonts w:ascii="Book Antiqua" w:hAnsi="Book Antiqua" w:cs="Times New Roman"/>
                <w:sz w:val="22"/>
                <w:szCs w:val="22"/>
              </w:rPr>
            </w:pPr>
            <w:r w:rsidRPr="007469B9">
              <w:rPr>
                <w:rFonts w:ascii="Book Antiqua" w:hAnsi="Book Antiqua"/>
                <w:sz w:val="22"/>
                <w:szCs w:val="22"/>
              </w:rPr>
              <w:t xml:space="preserve">Keeping in view the above, it is stated that contravention of Section 166 of the Act, at the relevant point of time, has been established and same has been admitted by the Respondents as well. </w:t>
            </w:r>
            <w:r w:rsidRPr="007469B9">
              <w:rPr>
                <w:rFonts w:ascii="Book Antiqua" w:hAnsi="Book Antiqua"/>
                <w:color w:val="000000" w:themeColor="text1"/>
                <w:sz w:val="22"/>
                <w:szCs w:val="22"/>
              </w:rPr>
              <w:t>However, keeping in view the fact that the non-compliance has now been ratified, therefore, I in exercise of the powers conferred under Section 169 hereby conclude the instant proceedings without imposing any penalty on the Respondents. The Respondents, however, are advised to ensure compliance with the applicable regulatory requirements including Section 166 of the Act in letter and spirt, in future.</w:t>
            </w:r>
          </w:p>
          <w:p w:rsidR="00605013" w:rsidRDefault="00605013" w:rsidP="00DA12B8">
            <w:pPr>
              <w:pStyle w:val="ListParagraph"/>
              <w:spacing w:line="276" w:lineRule="auto"/>
              <w:ind w:left="0"/>
              <w:contextualSpacing w:val="0"/>
              <w:jc w:val="both"/>
              <w:rPr>
                <w:rFonts w:ascii="Book Antiqua" w:hAnsi="Book Antiqua" w:cs="Times New Roman"/>
                <w:sz w:val="22"/>
                <w:szCs w:val="22"/>
              </w:rPr>
            </w:pPr>
          </w:p>
          <w:p w:rsidR="00213C34" w:rsidRPr="00DA12B8" w:rsidRDefault="00DA12B8" w:rsidP="00DA12B8">
            <w:pPr>
              <w:widowControl w:val="0"/>
              <w:autoSpaceDE w:val="0"/>
              <w:autoSpaceDN w:val="0"/>
              <w:adjustRightInd w:val="0"/>
              <w:spacing w:line="276" w:lineRule="auto"/>
              <w:ind w:right="-45"/>
              <w:jc w:val="both"/>
              <w:rPr>
                <w:rFonts w:ascii="Book Antiqua" w:hAnsi="Book Antiqua"/>
                <w:sz w:val="22"/>
                <w:szCs w:val="22"/>
              </w:rPr>
            </w:pPr>
            <w:r w:rsidRPr="00DA12B8">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3E0610" w:rsidTr="00991511">
        <w:tc>
          <w:tcPr>
            <w:tcW w:w="2605" w:type="dxa"/>
          </w:tcPr>
          <w:p w:rsidR="00FD6E1D" w:rsidRPr="003E0610" w:rsidRDefault="00FD6E1D" w:rsidP="00DA12B8">
            <w:pPr>
              <w:pStyle w:val="NoSpacing"/>
              <w:numPr>
                <w:ilvl w:val="0"/>
                <w:numId w:val="1"/>
              </w:numPr>
              <w:spacing w:line="276" w:lineRule="auto"/>
              <w:ind w:left="340"/>
              <w:rPr>
                <w:rFonts w:ascii="Book Antiqua" w:hAnsi="Book Antiqua" w:cs="Times New Roman"/>
                <w:sz w:val="22"/>
                <w:szCs w:val="22"/>
              </w:rPr>
            </w:pPr>
            <w:r w:rsidRPr="003E0610">
              <w:rPr>
                <w:rFonts w:ascii="Book Antiqua" w:hAnsi="Book Antiqua" w:cs="Times New Roman"/>
                <w:sz w:val="22"/>
                <w:szCs w:val="22"/>
              </w:rPr>
              <w:t>Penalty Imposed</w:t>
            </w:r>
          </w:p>
          <w:p w:rsidR="00FD6E1D" w:rsidRPr="003E0610" w:rsidRDefault="00FD6E1D" w:rsidP="00DA12B8">
            <w:pPr>
              <w:spacing w:line="276" w:lineRule="auto"/>
              <w:jc w:val="both"/>
              <w:rPr>
                <w:rFonts w:ascii="Book Antiqua" w:hAnsi="Book Antiqua" w:cs="Times New Roman"/>
                <w:sz w:val="22"/>
                <w:szCs w:val="22"/>
              </w:rPr>
            </w:pPr>
          </w:p>
        </w:tc>
        <w:tc>
          <w:tcPr>
            <w:tcW w:w="6660" w:type="dxa"/>
          </w:tcPr>
          <w:p w:rsidR="00FD6E1D" w:rsidRPr="003E0610" w:rsidRDefault="00605013" w:rsidP="00DA12B8">
            <w:pPr>
              <w:spacing w:line="276" w:lineRule="auto"/>
              <w:rPr>
                <w:rFonts w:ascii="Book Antiqua" w:hAnsi="Book Antiqua" w:cs="Times New Roman"/>
                <w:sz w:val="22"/>
                <w:szCs w:val="22"/>
              </w:rPr>
            </w:pPr>
            <w:r>
              <w:rPr>
                <w:rFonts w:ascii="Book Antiqua" w:hAnsi="Book Antiqua"/>
                <w:b/>
                <w:sz w:val="22"/>
                <w:szCs w:val="22"/>
              </w:rPr>
              <w:t>No penalty has been imposed on the respondents</w:t>
            </w:r>
          </w:p>
        </w:tc>
      </w:tr>
      <w:tr w:rsidR="00FD6E1D" w:rsidRPr="003E0610" w:rsidTr="00991511">
        <w:tc>
          <w:tcPr>
            <w:tcW w:w="2605" w:type="dxa"/>
          </w:tcPr>
          <w:p w:rsidR="00FD6E1D" w:rsidRPr="003E0610" w:rsidRDefault="00FD6E1D" w:rsidP="00DA12B8">
            <w:pPr>
              <w:pStyle w:val="ListParagraph"/>
              <w:numPr>
                <w:ilvl w:val="0"/>
                <w:numId w:val="1"/>
              </w:numPr>
              <w:spacing w:line="276" w:lineRule="auto"/>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DA12B8">
            <w:pPr>
              <w:spacing w:line="276" w:lineRule="auto"/>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DA12B8">
      <w:pPr>
        <w:spacing w:line="276" w:lineRule="auto"/>
        <w:ind w:firstLine="720"/>
        <w:jc w:val="both"/>
        <w:rPr>
          <w:rFonts w:ascii="Book Antiqua" w:hAnsi="Book Antiqua" w:cs="Times New Roman"/>
          <w:sz w:val="22"/>
          <w:szCs w:val="22"/>
        </w:rPr>
      </w:pPr>
    </w:p>
    <w:p w:rsidR="00C429B2" w:rsidRPr="003E0610" w:rsidRDefault="00C429B2" w:rsidP="00DA12B8">
      <w:pPr>
        <w:spacing w:line="276" w:lineRule="auto"/>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FED" w:rsidRDefault="00DF7FED" w:rsidP="007F33F3">
      <w:r>
        <w:separator/>
      </w:r>
    </w:p>
  </w:endnote>
  <w:endnote w:type="continuationSeparator" w:id="0">
    <w:p w:rsidR="00DF7FED" w:rsidRDefault="00DF7FED"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FED" w:rsidRDefault="00DF7FED" w:rsidP="007F33F3">
      <w:r>
        <w:separator/>
      </w:r>
    </w:p>
  </w:footnote>
  <w:footnote w:type="continuationSeparator" w:id="0">
    <w:p w:rsidR="00DF7FED" w:rsidRDefault="00DF7FED"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0BDC"/>
    <w:rsid w:val="001459DF"/>
    <w:rsid w:val="00147622"/>
    <w:rsid w:val="00161A12"/>
    <w:rsid w:val="00161ABE"/>
    <w:rsid w:val="00162ACC"/>
    <w:rsid w:val="00177B50"/>
    <w:rsid w:val="001D1377"/>
    <w:rsid w:val="001E131E"/>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A4F88"/>
    <w:rsid w:val="004C3976"/>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A12B8"/>
    <w:rsid w:val="00DD56E1"/>
    <w:rsid w:val="00DF7FED"/>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313CC110"/>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2022-10-17T07:57:00Z</dcterms:created>
  <dcterms:modified xsi:type="dcterms:W3CDTF">2022-10-17T07:57:00Z</dcterms:modified>
</cp:coreProperties>
</file>