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F91976" w:rsidRPr="0011156C" w:rsidRDefault="00F91976" w:rsidP="00F91976">
      <w:pPr>
        <w:spacing w:line="276" w:lineRule="auto"/>
        <w:jc w:val="center"/>
        <w:rPr>
          <w:rFonts w:ascii="Book Antiqua" w:eastAsia="Arial Unicode MS" w:hAnsi="Book Antiqua"/>
          <w:b/>
          <w:bCs/>
          <w:color w:val="000000"/>
          <w:sz w:val="22"/>
          <w:szCs w:val="22"/>
        </w:rPr>
      </w:pPr>
      <w:r w:rsidRPr="0011156C">
        <w:rPr>
          <w:rFonts w:ascii="Book Antiqua" w:eastAsia="Arial Unicode MS" w:hAnsi="Book Antiqua"/>
          <w:b/>
          <w:bCs/>
          <w:color w:val="000000"/>
          <w:sz w:val="22"/>
          <w:szCs w:val="22"/>
        </w:rPr>
        <w:t xml:space="preserve">Mr. Abid Hussain – Executive Director/ Head of Department </w:t>
      </w:r>
    </w:p>
    <w:p w:rsidR="007D5BC8" w:rsidRPr="003E0610" w:rsidRDefault="007D5BC8" w:rsidP="007D5BC8">
      <w:pPr>
        <w:jc w:val="center"/>
        <w:rPr>
          <w:rFonts w:ascii="Book Antiqua" w:hAnsi="Book Antiqua" w:cs="Times New Roman"/>
          <w:b/>
          <w:bCs/>
          <w:sz w:val="22"/>
          <w:szCs w:val="22"/>
          <w:u w:val="single"/>
        </w:rPr>
      </w:pPr>
    </w:p>
    <w:p w:rsidR="00192BA5" w:rsidRPr="007D5BC8" w:rsidRDefault="007F33F3" w:rsidP="00F91976">
      <w:pPr>
        <w:pStyle w:val="NormalWeb"/>
        <w:spacing w:line="276" w:lineRule="auto"/>
        <w:jc w:val="center"/>
        <w:rPr>
          <w:rFonts w:ascii="Book Antiqua" w:hAnsi="Book Antiqua"/>
          <w:b/>
          <w:bCs/>
          <w:sz w:val="22"/>
          <w:szCs w:val="22"/>
          <w:u w:val="single"/>
        </w:rPr>
      </w:pPr>
      <w:r w:rsidRPr="003E0610">
        <w:rPr>
          <w:rFonts w:ascii="Book Antiqua" w:hAnsi="Book Antiqua"/>
          <w:b/>
          <w:bCs/>
          <w:sz w:val="22"/>
          <w:szCs w:val="22"/>
          <w:u w:val="single"/>
        </w:rPr>
        <w:t>In the matter of</w:t>
      </w:r>
      <w:r w:rsidR="0088646B" w:rsidRPr="003E0610">
        <w:rPr>
          <w:rFonts w:ascii="Book Antiqua" w:hAnsi="Book Antiqua"/>
          <w:b/>
          <w:bCs/>
          <w:sz w:val="22"/>
          <w:szCs w:val="22"/>
          <w:u w:val="single"/>
        </w:rPr>
        <w:t xml:space="preserve"> Show Cause Notice issued to</w:t>
      </w:r>
      <w:r w:rsidR="00F6183A" w:rsidRPr="003E0610">
        <w:rPr>
          <w:rFonts w:ascii="Book Antiqua" w:hAnsi="Book Antiqua"/>
          <w:b/>
          <w:bCs/>
          <w:sz w:val="22"/>
          <w:szCs w:val="22"/>
          <w:u w:val="single"/>
        </w:rPr>
        <w:t xml:space="preserve"> </w:t>
      </w:r>
      <w:r w:rsidR="00F91976" w:rsidRPr="00AB0768">
        <w:rPr>
          <w:rFonts w:ascii="Book Antiqua" w:hAnsi="Book Antiqua"/>
          <w:b/>
          <w:bCs/>
          <w:sz w:val="22"/>
          <w:szCs w:val="22"/>
          <w:u w:val="single"/>
        </w:rPr>
        <w:t>Globe Textile Mills Limited</w:t>
      </w:r>
    </w:p>
    <w:p w:rsidR="007F33F3" w:rsidRPr="003E0610" w:rsidRDefault="007F33F3" w:rsidP="007F33F3">
      <w:pPr>
        <w:tabs>
          <w:tab w:val="left" w:pos="1080"/>
        </w:tabs>
        <w:jc w:val="center"/>
        <w:rPr>
          <w:rFonts w:ascii="Book Antiqua" w:hAnsi="Book Antiqua" w:cs="Times New Roman"/>
          <w:b/>
          <w:bCs/>
          <w:sz w:val="22"/>
          <w:szCs w:val="22"/>
          <w:u w:val="single"/>
        </w:rPr>
      </w:pPr>
    </w:p>
    <w:p w:rsidR="007F33F3" w:rsidRPr="003E0610"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F91976" w:rsidP="00F91976">
            <w:pPr>
              <w:pStyle w:val="NormalWeb"/>
              <w:spacing w:line="276" w:lineRule="auto"/>
              <w:jc w:val="both"/>
              <w:rPr>
                <w:rFonts w:ascii="Book Antiqua" w:hAnsi="Book Antiqua"/>
                <w:sz w:val="22"/>
                <w:szCs w:val="22"/>
              </w:rPr>
            </w:pPr>
            <w:r w:rsidRPr="0011156C">
              <w:rPr>
                <w:rFonts w:ascii="Book Antiqua" w:hAnsi="Book Antiqua"/>
                <w:sz w:val="22"/>
                <w:szCs w:val="22"/>
              </w:rPr>
              <w:t>June 03, 2022; September 07, 2022</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F91976">
        <w:rPr>
          <w:rFonts w:ascii="Book Antiqua" w:hAnsi="Book Antiqua" w:cs="Times New Roman"/>
          <w:sz w:val="22"/>
          <w:szCs w:val="22"/>
        </w:rPr>
        <w:t>September</w:t>
      </w:r>
      <w:r w:rsidR="00192BA5">
        <w:rPr>
          <w:rFonts w:ascii="Book Antiqua" w:hAnsi="Book Antiqua" w:cs="Times New Roman"/>
          <w:sz w:val="22"/>
          <w:szCs w:val="22"/>
        </w:rPr>
        <w:t xml:space="preserve"> 2</w:t>
      </w:r>
      <w:r w:rsidR="00F91976">
        <w:rPr>
          <w:rFonts w:ascii="Book Antiqua" w:hAnsi="Book Antiqua" w:cs="Times New Roman"/>
          <w:sz w:val="22"/>
          <w:szCs w:val="22"/>
        </w:rPr>
        <w:t>3</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 xml:space="preserve">was passed by </w:t>
      </w:r>
      <w:r w:rsidR="00F91976">
        <w:rPr>
          <w:rFonts w:ascii="Book Antiqua" w:hAnsi="Book Antiqua" w:cs="Times New Roman"/>
          <w:sz w:val="22"/>
          <w:szCs w:val="22"/>
        </w:rPr>
        <w:t xml:space="preserve">Executive </w:t>
      </w:r>
      <w:r w:rsidR="007F33F3" w:rsidRPr="003E0610">
        <w:rPr>
          <w:rFonts w:ascii="Book Antiqua" w:hAnsi="Book Antiqua" w:cs="Times New Roman"/>
          <w:sz w:val="22"/>
          <w:szCs w:val="22"/>
        </w:rPr>
        <w:t>Director/Head of Department (Adjudication-I) in the matter of</w:t>
      </w:r>
      <w:r w:rsidR="009043D6" w:rsidRPr="003E0610">
        <w:rPr>
          <w:rFonts w:ascii="Book Antiqua" w:hAnsi="Book Antiqua" w:cs="Times New Roman"/>
          <w:sz w:val="22"/>
          <w:szCs w:val="22"/>
        </w:rPr>
        <w:t xml:space="preserve"> </w:t>
      </w:r>
      <w:r w:rsidR="00F91976" w:rsidRPr="0011156C">
        <w:rPr>
          <w:rFonts w:ascii="Book Antiqua" w:hAnsi="Book Antiqua"/>
          <w:color w:val="000000"/>
          <w:sz w:val="22"/>
          <w:szCs w:val="22"/>
        </w:rPr>
        <w:t>Globe Textile Mills Limited</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F91976" w:rsidRPr="0011156C">
              <w:rPr>
                <w:rFonts w:ascii="Book Antiqua" w:hAnsi="Book Antiqua" w:cs="Times New Roman"/>
                <w:sz w:val="22"/>
                <w:szCs w:val="22"/>
              </w:rPr>
              <w:t>April 1</w:t>
            </w:r>
            <w:r w:rsidR="00E331F0">
              <w:rPr>
                <w:rFonts w:ascii="Book Antiqua" w:hAnsi="Book Antiqua" w:cs="Times New Roman"/>
                <w:sz w:val="22"/>
                <w:szCs w:val="22"/>
              </w:rPr>
              <w:t>3</w:t>
            </w:r>
            <w:r w:rsidR="00F91976" w:rsidRPr="0011156C">
              <w:rPr>
                <w:rFonts w:ascii="Book Antiqua" w:hAnsi="Book Antiqua" w:cs="Times New Roman"/>
                <w:sz w:val="22"/>
                <w:szCs w:val="22"/>
              </w:rPr>
              <w:t>, 2022</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F91976" w:rsidP="00991511">
            <w:pPr>
              <w:jc w:val="both"/>
              <w:rPr>
                <w:rFonts w:ascii="Book Antiqua" w:hAnsi="Book Antiqua" w:cs="Times New Roman"/>
                <w:sz w:val="22"/>
                <w:szCs w:val="22"/>
              </w:rPr>
            </w:pPr>
            <w:r w:rsidRPr="0011156C">
              <w:rPr>
                <w:rFonts w:ascii="Book Antiqua" w:hAnsi="Book Antiqua"/>
                <w:color w:val="000000"/>
                <w:sz w:val="22"/>
                <w:szCs w:val="22"/>
              </w:rPr>
              <w:t>Globe Textile Mills 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 xml:space="preserve">Name of Individual </w:t>
            </w:r>
          </w:p>
        </w:tc>
        <w:tc>
          <w:tcPr>
            <w:tcW w:w="6660" w:type="dxa"/>
          </w:tcPr>
          <w:p w:rsidR="00FD6E1D" w:rsidRPr="003E0610" w:rsidRDefault="00FD6E1D" w:rsidP="00FD6E1D">
            <w:pPr>
              <w:jc w:val="both"/>
              <w:rPr>
                <w:rFonts w:ascii="Book Antiqua" w:hAnsi="Book Antiqua" w:cs="Times New Roman"/>
                <w:sz w:val="22"/>
                <w:szCs w:val="22"/>
              </w:rPr>
            </w:pPr>
            <w:r w:rsidRPr="003E0610">
              <w:rPr>
                <w:rFonts w:ascii="Book Antiqua" w:hAnsi="Book Antiqua" w:cs="Times New Roman"/>
                <w:sz w:val="22"/>
                <w:szCs w:val="22"/>
              </w:rPr>
              <w:t xml:space="preserve">The proceedings were initiated against </w:t>
            </w:r>
            <w:r w:rsidR="007D5BC8">
              <w:rPr>
                <w:rFonts w:ascii="Book Antiqua" w:hAnsi="Book Antiqua" w:cs="Times New Roman"/>
                <w:sz w:val="22"/>
                <w:szCs w:val="22"/>
              </w:rPr>
              <w:t xml:space="preserve">the </w:t>
            </w:r>
            <w:r w:rsidR="00F91976" w:rsidRPr="00E331F0">
              <w:rPr>
                <w:rFonts w:ascii="Book Antiqua" w:hAnsi="Book Antiqua"/>
                <w:color w:val="000000"/>
                <w:sz w:val="22"/>
                <w:szCs w:val="22"/>
              </w:rPr>
              <w:t>Company</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F91976"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E331F0" w:rsidRPr="0011156C">
              <w:rPr>
                <w:rFonts w:ascii="Book Antiqua" w:hAnsi="Book Antiqua"/>
                <w:color w:val="000000"/>
                <w:sz w:val="22"/>
                <w:szCs w:val="22"/>
              </w:rPr>
              <w:t>Section 19</w:t>
            </w:r>
            <w:r w:rsidR="00E331F0">
              <w:rPr>
                <w:rFonts w:ascii="Book Antiqua" w:hAnsi="Book Antiqua"/>
                <w:color w:val="000000"/>
                <w:sz w:val="22"/>
                <w:szCs w:val="22"/>
              </w:rPr>
              <w:t>5</w:t>
            </w:r>
            <w:r w:rsidR="00E331F0" w:rsidRPr="0011156C">
              <w:rPr>
                <w:rFonts w:ascii="Book Antiqua" w:hAnsi="Book Antiqua"/>
                <w:color w:val="000000"/>
                <w:sz w:val="22"/>
                <w:szCs w:val="22"/>
              </w:rPr>
              <w:t xml:space="preserve"> of the Companies Act, 2017</w:t>
            </w:r>
            <w:r w:rsidR="00E331F0" w:rsidRPr="0011156C">
              <w:rPr>
                <w:rFonts w:ascii="Book Antiqua" w:hAnsi="Book Antiqua"/>
                <w:sz w:val="22"/>
                <w:szCs w:val="22"/>
              </w:rPr>
              <w:t>(</w:t>
            </w:r>
            <w:r w:rsidR="00E331F0" w:rsidRPr="0011156C">
              <w:rPr>
                <w:rFonts w:ascii="Book Antiqua" w:hAnsi="Book Antiqua"/>
                <w:b/>
                <w:sz w:val="22"/>
                <w:szCs w:val="22"/>
              </w:rPr>
              <w:t>the Act</w:t>
            </w:r>
            <w:r w:rsidR="00E331F0" w:rsidRPr="0011156C">
              <w:rPr>
                <w:rFonts w:ascii="Book Antiqua" w:hAnsi="Book Antiqua"/>
                <w:color w:val="000000"/>
                <w:sz w:val="22"/>
                <w:szCs w:val="22"/>
              </w:rPr>
              <w:t xml:space="preserve">) read with </w:t>
            </w:r>
            <w:r w:rsidR="00E331F0">
              <w:rPr>
                <w:rFonts w:ascii="Book Antiqua" w:hAnsi="Book Antiqua"/>
                <w:color w:val="000000"/>
                <w:sz w:val="22"/>
                <w:szCs w:val="22"/>
              </w:rPr>
              <w:t>s</w:t>
            </w:r>
            <w:r w:rsidR="00E331F0" w:rsidRPr="0011156C">
              <w:rPr>
                <w:rFonts w:ascii="Book Antiqua" w:hAnsi="Book Antiqua"/>
                <w:color w:val="000000"/>
                <w:sz w:val="22"/>
                <w:szCs w:val="22"/>
              </w:rPr>
              <w:t>ection</w:t>
            </w:r>
            <w:r w:rsidR="00E331F0">
              <w:rPr>
                <w:rFonts w:ascii="Book Antiqua" w:hAnsi="Book Antiqua"/>
                <w:color w:val="000000"/>
                <w:sz w:val="22"/>
                <w:szCs w:val="22"/>
              </w:rPr>
              <w:t xml:space="preserve"> 502</w:t>
            </w:r>
            <w:r w:rsidR="00E331F0" w:rsidRPr="0011156C">
              <w:rPr>
                <w:rFonts w:ascii="Book Antiqua" w:hAnsi="Book Antiqua"/>
                <w:color w:val="000000"/>
                <w:sz w:val="22"/>
                <w:szCs w:val="22"/>
              </w:rPr>
              <w:t xml:space="preserve"> thereof</w:t>
            </w:r>
            <w:r w:rsidR="00E331F0" w:rsidRPr="003E0610">
              <w:rPr>
                <w:rFonts w:ascii="Book Antiqua" w:hAnsi="Book Antiqua"/>
                <w:sz w:val="22"/>
                <w:szCs w:val="22"/>
              </w:rPr>
              <w:t xml:space="preserve"> </w:t>
            </w:r>
          </w:p>
          <w:p w:rsidR="00E331F0" w:rsidRPr="003E0610" w:rsidRDefault="00E331F0" w:rsidP="003E0610">
            <w:pPr>
              <w:jc w:val="both"/>
              <w:rPr>
                <w:rFonts w:ascii="Book Antiqua" w:hAnsi="Book Antiqua"/>
                <w:sz w:val="22"/>
                <w:szCs w:val="22"/>
              </w:rPr>
            </w:pPr>
          </w:p>
          <w:p w:rsidR="003E0610" w:rsidRPr="003E0610" w:rsidRDefault="00E331F0" w:rsidP="00DF3C4A">
            <w:pPr>
              <w:pStyle w:val="BodyText"/>
              <w:tabs>
                <w:tab w:val="left" w:pos="0"/>
              </w:tabs>
              <w:spacing w:after="0"/>
              <w:jc w:val="both"/>
              <w:rPr>
                <w:rFonts w:ascii="Book Antiqua" w:hAnsi="Book Antiqua" w:cs="Times New Roman"/>
                <w:sz w:val="22"/>
                <w:szCs w:val="22"/>
              </w:rPr>
            </w:pPr>
            <w:r w:rsidRPr="00E331F0">
              <w:rPr>
                <w:rFonts w:ascii="Book Antiqua" w:hAnsi="Book Antiqua" w:cs="Times New Roman"/>
                <w:sz w:val="22"/>
              </w:rPr>
              <w:t xml:space="preserve">The facts of the case are that the Company did not appoint an independent share registrar after closure of business by its previous share registrar i.e. M/s NI Associates in August 2020, contrary to the requirements of section 195 of the Act. </w:t>
            </w:r>
          </w:p>
        </w:tc>
      </w:tr>
      <w:tr w:rsidR="00FD6E1D" w:rsidRPr="003E0610" w:rsidTr="00991511">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605013">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E331F0" w:rsidRPr="0011156C" w:rsidRDefault="00E331F0" w:rsidP="00E331F0">
            <w:pPr>
              <w:pStyle w:val="ListParagraph"/>
              <w:autoSpaceDE w:val="0"/>
              <w:autoSpaceDN w:val="0"/>
              <w:adjustRightInd w:val="0"/>
              <w:spacing w:line="276" w:lineRule="auto"/>
              <w:ind w:left="0"/>
              <w:jc w:val="both"/>
              <w:rPr>
                <w:rFonts w:ascii="Book Antiqua" w:eastAsia="Calibri" w:hAnsi="Book Antiqua"/>
                <w:color w:val="000000" w:themeColor="text1"/>
                <w:sz w:val="22"/>
                <w:szCs w:val="22"/>
              </w:rPr>
            </w:pPr>
            <w:r w:rsidRPr="0011156C">
              <w:rPr>
                <w:rFonts w:ascii="Book Antiqua" w:eastAsia="Calibri" w:hAnsi="Book Antiqua"/>
                <w:color w:val="000000" w:themeColor="text1"/>
                <w:sz w:val="22"/>
                <w:szCs w:val="22"/>
              </w:rPr>
              <w:t xml:space="preserve">From the discussion and after careful consideration of relevant requirements of law and relevant facts of this case, I am of the view that the </w:t>
            </w:r>
            <w:r>
              <w:rPr>
                <w:rFonts w:ascii="Book Antiqua" w:eastAsia="Calibri" w:hAnsi="Book Antiqua"/>
                <w:color w:val="000000" w:themeColor="text1"/>
                <w:sz w:val="22"/>
                <w:szCs w:val="22"/>
              </w:rPr>
              <w:t>Company</w:t>
            </w:r>
            <w:r w:rsidRPr="0011156C">
              <w:rPr>
                <w:rFonts w:ascii="Book Antiqua" w:eastAsia="Calibri" w:hAnsi="Book Antiqua"/>
                <w:color w:val="000000" w:themeColor="text1"/>
                <w:sz w:val="22"/>
                <w:szCs w:val="22"/>
              </w:rPr>
              <w:t xml:space="preserve"> failed to </w:t>
            </w:r>
            <w:r>
              <w:rPr>
                <w:rFonts w:ascii="Book Antiqua" w:eastAsia="Calibri" w:hAnsi="Book Antiqua"/>
                <w:color w:val="000000" w:themeColor="text1"/>
                <w:sz w:val="22"/>
                <w:szCs w:val="22"/>
              </w:rPr>
              <w:t>appoint an independent share registrar</w:t>
            </w:r>
            <w:r w:rsidRPr="0011156C">
              <w:rPr>
                <w:rFonts w:ascii="Book Antiqua" w:eastAsia="Calibri" w:hAnsi="Book Antiqua"/>
                <w:color w:val="000000" w:themeColor="text1"/>
                <w:sz w:val="22"/>
                <w:szCs w:val="22"/>
              </w:rPr>
              <w:t xml:space="preserve"> and thereby contravened the provisions of </w:t>
            </w:r>
            <w:r>
              <w:rPr>
                <w:rFonts w:ascii="Book Antiqua" w:eastAsia="Calibri" w:hAnsi="Book Antiqua"/>
                <w:color w:val="000000" w:themeColor="text1"/>
                <w:sz w:val="22"/>
                <w:szCs w:val="22"/>
              </w:rPr>
              <w:t>s</w:t>
            </w:r>
            <w:r w:rsidRPr="0011156C">
              <w:rPr>
                <w:rFonts w:ascii="Book Antiqua" w:eastAsia="Calibri" w:hAnsi="Book Antiqua"/>
                <w:color w:val="000000" w:themeColor="text1"/>
                <w:sz w:val="22"/>
                <w:szCs w:val="22"/>
              </w:rPr>
              <w:t>ection 19</w:t>
            </w:r>
            <w:r>
              <w:rPr>
                <w:rFonts w:ascii="Book Antiqua" w:eastAsia="Calibri" w:hAnsi="Book Antiqua"/>
                <w:color w:val="000000" w:themeColor="text1"/>
                <w:sz w:val="22"/>
                <w:szCs w:val="22"/>
              </w:rPr>
              <w:t>5</w:t>
            </w:r>
            <w:r w:rsidRPr="0011156C">
              <w:rPr>
                <w:rFonts w:ascii="Book Antiqua" w:eastAsia="Calibri" w:hAnsi="Book Antiqua"/>
                <w:color w:val="000000" w:themeColor="text1"/>
                <w:sz w:val="22"/>
                <w:szCs w:val="22"/>
              </w:rPr>
              <w:t xml:space="preserve"> of the Act. </w:t>
            </w:r>
            <w:r>
              <w:rPr>
                <w:rFonts w:ascii="Book Antiqua" w:eastAsia="Calibri" w:hAnsi="Book Antiqua"/>
                <w:color w:val="000000" w:themeColor="text1"/>
                <w:sz w:val="22"/>
                <w:szCs w:val="22"/>
              </w:rPr>
              <w:t>However, the trading of the company is suspended and the company is under winding up and no transaction of transfer of shares has been undertaken in the last five years</w:t>
            </w:r>
            <w:r w:rsidR="00DF3C4A">
              <w:rPr>
                <w:rFonts w:ascii="Book Antiqua" w:eastAsia="Calibri" w:hAnsi="Book Antiqua"/>
                <w:color w:val="000000" w:themeColor="text1"/>
                <w:sz w:val="22"/>
                <w:szCs w:val="22"/>
              </w:rPr>
              <w:t>,</w:t>
            </w:r>
            <w:bookmarkStart w:id="0" w:name="_GoBack"/>
            <w:bookmarkEnd w:id="0"/>
            <w:r>
              <w:rPr>
                <w:rFonts w:ascii="Book Antiqua" w:eastAsia="Calibri" w:hAnsi="Book Antiqua"/>
                <w:color w:val="000000" w:themeColor="text1"/>
                <w:sz w:val="22"/>
                <w:szCs w:val="22"/>
              </w:rPr>
              <w:t xml:space="preserve"> I hereby close the case with warning to the Company with direction to ensure meticulous compliance of the law in letter and spirit and appoint share registrar immediately. </w:t>
            </w:r>
          </w:p>
          <w:p w:rsidR="00E331F0" w:rsidRPr="0011156C" w:rsidRDefault="00E331F0" w:rsidP="00E331F0">
            <w:pPr>
              <w:pStyle w:val="ListParagraph"/>
              <w:tabs>
                <w:tab w:val="left" w:pos="540"/>
              </w:tabs>
              <w:spacing w:line="276" w:lineRule="auto"/>
              <w:ind w:left="0"/>
              <w:jc w:val="both"/>
              <w:rPr>
                <w:rFonts w:ascii="Book Antiqua" w:hAnsi="Book Antiqua"/>
                <w:sz w:val="22"/>
                <w:szCs w:val="22"/>
              </w:rPr>
            </w:pPr>
          </w:p>
          <w:p w:rsidR="00E331F0" w:rsidRPr="0011156C" w:rsidRDefault="00E331F0" w:rsidP="00E331F0">
            <w:pPr>
              <w:pStyle w:val="ListParagraph"/>
              <w:tabs>
                <w:tab w:val="left" w:pos="540"/>
              </w:tabs>
              <w:spacing w:line="276" w:lineRule="auto"/>
              <w:ind w:left="0"/>
              <w:jc w:val="both"/>
              <w:rPr>
                <w:rFonts w:ascii="Book Antiqua" w:hAnsi="Book Antiqua"/>
                <w:sz w:val="22"/>
                <w:szCs w:val="22"/>
              </w:rPr>
            </w:pPr>
            <w:r w:rsidRPr="0011156C">
              <w:rPr>
                <w:rFonts w:ascii="Book Antiqua" w:hAnsi="Book Antiqua"/>
                <w:sz w:val="22"/>
                <w:szCs w:val="22"/>
              </w:rPr>
              <w:lastRenderedPageBreak/>
              <w:t>Nothing in this Order may be deemed to prejudice the operation of any provision of the Act providing for imposition of penalties in respect of any default, omission, violation of the Act.</w:t>
            </w:r>
          </w:p>
          <w:p w:rsidR="00213C34" w:rsidRPr="003E0610" w:rsidRDefault="00213C34" w:rsidP="00F91976">
            <w:pPr>
              <w:pStyle w:val="ListParagraph"/>
              <w:spacing w:line="360" w:lineRule="auto"/>
              <w:ind w:left="0"/>
              <w:contextualSpacing w:val="0"/>
              <w:jc w:val="both"/>
              <w:rPr>
                <w:rFonts w:ascii="Book Antiqua" w:hAnsi="Book Antiqua" w:cs="Times New Roman"/>
                <w:sz w:val="22"/>
                <w:szCs w:val="22"/>
              </w:rPr>
            </w:pP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lastRenderedPageBreak/>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E331F0" w:rsidP="00F604C5">
            <w:pPr>
              <w:rPr>
                <w:rFonts w:ascii="Book Antiqua" w:hAnsi="Book Antiqua" w:cs="Times New Roman"/>
                <w:sz w:val="22"/>
                <w:szCs w:val="22"/>
              </w:rPr>
            </w:pPr>
            <w:r>
              <w:rPr>
                <w:rFonts w:ascii="Book Antiqua" w:eastAsia="Calibri" w:hAnsi="Book Antiqua"/>
                <w:b/>
                <w:color w:val="000000" w:themeColor="text1"/>
                <w:sz w:val="22"/>
                <w:szCs w:val="22"/>
              </w:rPr>
              <w:t>No penalty has been imposed on the respondents</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6D6A98" w:rsidP="00FD6E1D">
            <w:pPr>
              <w:jc w:val="both"/>
              <w:rPr>
                <w:rFonts w:ascii="Book Antiqua" w:hAnsi="Book Antiqua" w:cs="Times New Roman"/>
                <w:sz w:val="22"/>
                <w:szCs w:val="22"/>
              </w:rPr>
            </w:pPr>
            <w:r w:rsidRPr="003E0610">
              <w:rPr>
                <w:rFonts w:ascii="Book Antiqua" w:hAnsi="Book Antiqua" w:cs="Times New Roman"/>
                <w:sz w:val="22"/>
                <w:szCs w:val="22"/>
              </w:rPr>
              <w:t xml:space="preserve">No </w:t>
            </w:r>
            <w:r w:rsidR="00FD6E1D" w:rsidRPr="003E0610">
              <w:rPr>
                <w:rFonts w:ascii="Book Antiqua" w:hAnsi="Book Antiqua" w:cs="Times New Roman"/>
                <w:sz w:val="22"/>
                <w:szCs w:val="22"/>
              </w:rPr>
              <w:t>Appeal has been filed by the respondents.</w:t>
            </w:r>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131" w:rsidRDefault="003C2131" w:rsidP="007F33F3">
      <w:r>
        <w:separator/>
      </w:r>
    </w:p>
  </w:endnote>
  <w:endnote w:type="continuationSeparator" w:id="0">
    <w:p w:rsidR="003C2131" w:rsidRDefault="003C2131"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131" w:rsidRDefault="003C2131" w:rsidP="007F33F3">
      <w:r>
        <w:separator/>
      </w:r>
    </w:p>
  </w:footnote>
  <w:footnote w:type="continuationSeparator" w:id="0">
    <w:p w:rsidR="003C2131" w:rsidRDefault="003C2131"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0CBC2CD2"/>
    <w:multiLevelType w:val="hybridMultilevel"/>
    <w:tmpl w:val="64C0AE9A"/>
    <w:lvl w:ilvl="0" w:tplc="A96AD9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401E6"/>
    <w:multiLevelType w:val="hybridMultilevel"/>
    <w:tmpl w:val="D26C2D28"/>
    <w:lvl w:ilvl="0" w:tplc="23909E18">
      <w:start w:val="2"/>
      <w:numFmt w:val="decimal"/>
      <w:lvlText w:val="%1."/>
      <w:lvlJc w:val="left"/>
      <w:pPr>
        <w:ind w:left="360" w:hanging="360"/>
      </w:pPr>
      <w:rPr>
        <w:rFonts w:hint="default"/>
        <w:b w:val="0"/>
        <w:bCs w:val="0"/>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A55EF"/>
    <w:multiLevelType w:val="hybridMultilevel"/>
    <w:tmpl w:val="142E95FE"/>
    <w:lvl w:ilvl="0" w:tplc="B1B4EF4E">
      <w:start w:val="14"/>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3"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8423E"/>
    <w:multiLevelType w:val="hybridMultilevel"/>
    <w:tmpl w:val="F6F0F4CC"/>
    <w:lvl w:ilvl="0" w:tplc="03CE2DDE">
      <w:start w:val="1"/>
      <w:numFmt w:val="lowerRoman"/>
      <w:lvlText w:val="(%1)"/>
      <w:lvlJc w:val="left"/>
      <w:pPr>
        <w:ind w:left="1080" w:hanging="720"/>
      </w:pPr>
      <w:rPr>
        <w:rFonts w:ascii="Palatino Linotype" w:eastAsia="Times New Roman" w:hAnsi="Palatino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E7183"/>
    <w:multiLevelType w:val="hybridMultilevel"/>
    <w:tmpl w:val="FA60B65E"/>
    <w:lvl w:ilvl="0" w:tplc="1E54E5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1"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4"/>
  </w:num>
  <w:num w:numId="5">
    <w:abstractNumId w:val="1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0"/>
  </w:num>
  <w:num w:numId="13">
    <w:abstractNumId w:val="20"/>
  </w:num>
  <w:num w:numId="14">
    <w:abstractNumId w:val="7"/>
  </w:num>
  <w:num w:numId="15">
    <w:abstractNumId w:val="18"/>
  </w:num>
  <w:num w:numId="16">
    <w:abstractNumId w:val="8"/>
  </w:num>
  <w:num w:numId="17">
    <w:abstractNumId w:val="22"/>
  </w:num>
  <w:num w:numId="18">
    <w:abstractNumId w:val="11"/>
  </w:num>
  <w:num w:numId="19">
    <w:abstractNumId w:val="6"/>
  </w:num>
  <w:num w:numId="20">
    <w:abstractNumId w:val="5"/>
  </w:num>
  <w:num w:numId="21">
    <w:abstractNumId w:val="14"/>
  </w:num>
  <w:num w:numId="22">
    <w:abstractNumId w:val="1"/>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B0DAF"/>
    <w:rsid w:val="000C1646"/>
    <w:rsid w:val="000E0E3A"/>
    <w:rsid w:val="000E36EA"/>
    <w:rsid w:val="000E432E"/>
    <w:rsid w:val="001127B2"/>
    <w:rsid w:val="00130711"/>
    <w:rsid w:val="00140BDC"/>
    <w:rsid w:val="001459DF"/>
    <w:rsid w:val="00147622"/>
    <w:rsid w:val="00161A12"/>
    <w:rsid w:val="00161ABE"/>
    <w:rsid w:val="00162ACC"/>
    <w:rsid w:val="00177B50"/>
    <w:rsid w:val="00192BA5"/>
    <w:rsid w:val="001D1377"/>
    <w:rsid w:val="001E131E"/>
    <w:rsid w:val="001E1A18"/>
    <w:rsid w:val="002002B7"/>
    <w:rsid w:val="00202F2E"/>
    <w:rsid w:val="00213C34"/>
    <w:rsid w:val="00232B68"/>
    <w:rsid w:val="00253D75"/>
    <w:rsid w:val="00253F20"/>
    <w:rsid w:val="00257956"/>
    <w:rsid w:val="002A5E46"/>
    <w:rsid w:val="002B3969"/>
    <w:rsid w:val="002C1608"/>
    <w:rsid w:val="002D7496"/>
    <w:rsid w:val="00314601"/>
    <w:rsid w:val="003155CD"/>
    <w:rsid w:val="0032666A"/>
    <w:rsid w:val="00330790"/>
    <w:rsid w:val="0038799E"/>
    <w:rsid w:val="003A0195"/>
    <w:rsid w:val="003A76E4"/>
    <w:rsid w:val="003C01AF"/>
    <w:rsid w:val="003C2131"/>
    <w:rsid w:val="003E0610"/>
    <w:rsid w:val="00406E53"/>
    <w:rsid w:val="00453B91"/>
    <w:rsid w:val="004A4F88"/>
    <w:rsid w:val="004B5911"/>
    <w:rsid w:val="004C3976"/>
    <w:rsid w:val="00520FB0"/>
    <w:rsid w:val="00541FC8"/>
    <w:rsid w:val="005448BC"/>
    <w:rsid w:val="00573416"/>
    <w:rsid w:val="005D1626"/>
    <w:rsid w:val="005D1DD2"/>
    <w:rsid w:val="005D5A6A"/>
    <w:rsid w:val="005F1525"/>
    <w:rsid w:val="005F7AF7"/>
    <w:rsid w:val="00605013"/>
    <w:rsid w:val="00613502"/>
    <w:rsid w:val="0066173F"/>
    <w:rsid w:val="00661896"/>
    <w:rsid w:val="006747FF"/>
    <w:rsid w:val="00676C58"/>
    <w:rsid w:val="006D6A98"/>
    <w:rsid w:val="006F24E1"/>
    <w:rsid w:val="006F33BE"/>
    <w:rsid w:val="00717CFF"/>
    <w:rsid w:val="00757157"/>
    <w:rsid w:val="00771E8D"/>
    <w:rsid w:val="007A5A94"/>
    <w:rsid w:val="007D5BC8"/>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285D"/>
    <w:rsid w:val="009F7602"/>
    <w:rsid w:val="00A31B95"/>
    <w:rsid w:val="00A5456F"/>
    <w:rsid w:val="00A60E42"/>
    <w:rsid w:val="00AA2072"/>
    <w:rsid w:val="00AB16A5"/>
    <w:rsid w:val="00AE5064"/>
    <w:rsid w:val="00B324FA"/>
    <w:rsid w:val="00B36248"/>
    <w:rsid w:val="00B50B09"/>
    <w:rsid w:val="00B510EB"/>
    <w:rsid w:val="00B63388"/>
    <w:rsid w:val="00B82FE2"/>
    <w:rsid w:val="00BB2C3E"/>
    <w:rsid w:val="00C001ED"/>
    <w:rsid w:val="00C07E00"/>
    <w:rsid w:val="00C24A81"/>
    <w:rsid w:val="00C25671"/>
    <w:rsid w:val="00C26D62"/>
    <w:rsid w:val="00C429B2"/>
    <w:rsid w:val="00C47181"/>
    <w:rsid w:val="00C9220B"/>
    <w:rsid w:val="00CC4639"/>
    <w:rsid w:val="00CD6207"/>
    <w:rsid w:val="00CF33A9"/>
    <w:rsid w:val="00CF45DE"/>
    <w:rsid w:val="00D134AA"/>
    <w:rsid w:val="00D247C7"/>
    <w:rsid w:val="00D25CA1"/>
    <w:rsid w:val="00D5538B"/>
    <w:rsid w:val="00D57CBB"/>
    <w:rsid w:val="00D63A7C"/>
    <w:rsid w:val="00D831E7"/>
    <w:rsid w:val="00DD56E1"/>
    <w:rsid w:val="00DF3C4A"/>
    <w:rsid w:val="00E331F0"/>
    <w:rsid w:val="00E334C5"/>
    <w:rsid w:val="00E7437F"/>
    <w:rsid w:val="00E916E1"/>
    <w:rsid w:val="00E9534D"/>
    <w:rsid w:val="00EA577D"/>
    <w:rsid w:val="00ED6926"/>
    <w:rsid w:val="00F421CF"/>
    <w:rsid w:val="00F604C5"/>
    <w:rsid w:val="00F6183A"/>
    <w:rsid w:val="00F73569"/>
    <w:rsid w:val="00F74156"/>
    <w:rsid w:val="00F9197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7C347A16"/>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2022-10-18T10:59:00Z</dcterms:created>
  <dcterms:modified xsi:type="dcterms:W3CDTF">2022-10-18T10:59:00Z</dcterms:modified>
</cp:coreProperties>
</file>