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5A697B">
        <w:rPr>
          <w:rFonts w:ascii="Times New Roman" w:hAnsi="Times New Roman" w:cs="Times New Roman"/>
          <w:b/>
          <w:bCs/>
          <w:sz w:val="22"/>
          <w:szCs w:val="22"/>
          <w:u w:val="single"/>
        </w:rPr>
        <w:t xml:space="preserve">Dewan </w:t>
      </w:r>
      <w:proofErr w:type="spellStart"/>
      <w:r w:rsidR="005A697B">
        <w:rPr>
          <w:rFonts w:ascii="Times New Roman" w:hAnsi="Times New Roman" w:cs="Times New Roman"/>
          <w:b/>
          <w:bCs/>
          <w:sz w:val="22"/>
          <w:szCs w:val="22"/>
          <w:u w:val="single"/>
        </w:rPr>
        <w:t>Farooque</w:t>
      </w:r>
      <w:proofErr w:type="spellEnd"/>
      <w:r w:rsidR="005A697B">
        <w:rPr>
          <w:rFonts w:ascii="Times New Roman" w:hAnsi="Times New Roman" w:cs="Times New Roman"/>
          <w:b/>
          <w:bCs/>
          <w:sz w:val="22"/>
          <w:szCs w:val="22"/>
          <w:u w:val="single"/>
        </w:rPr>
        <w:t xml:space="preserve"> Motors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5A697B" w:rsidRPr="005A697B" w:rsidRDefault="005A697B" w:rsidP="005A697B">
            <w:pPr>
              <w:spacing w:after="107" w:line="259" w:lineRule="auto"/>
              <w:ind w:left="7"/>
              <w:rPr>
                <w:sz w:val="20"/>
                <w:szCs w:val="20"/>
              </w:rPr>
            </w:pPr>
            <w:r w:rsidRPr="005A697B">
              <w:rPr>
                <w:rFonts w:ascii="Times New Roman" w:hAnsi="Times New Roman" w:cs="Times New Roman"/>
                <w:sz w:val="20"/>
                <w:szCs w:val="20"/>
              </w:rPr>
              <w:t xml:space="preserve">July 03, 2020, July 20, 2020, March 11, </w:t>
            </w:r>
            <w:r w:rsidR="00063CD8" w:rsidRPr="005A697B">
              <w:rPr>
                <w:rFonts w:ascii="Times New Roman" w:hAnsi="Times New Roman" w:cs="Times New Roman"/>
                <w:sz w:val="20"/>
                <w:szCs w:val="20"/>
              </w:rPr>
              <w:t>202</w:t>
            </w:r>
            <w:r w:rsidR="00063CD8">
              <w:rPr>
                <w:rFonts w:ascii="Times New Roman" w:hAnsi="Times New Roman" w:cs="Times New Roman"/>
                <w:sz w:val="20"/>
                <w:szCs w:val="20"/>
              </w:rPr>
              <w:t>1</w:t>
            </w:r>
            <w:r w:rsidRPr="005A697B">
              <w:rPr>
                <w:rFonts w:ascii="Times New Roman" w:hAnsi="Times New Roman" w:cs="Times New Roman"/>
                <w:sz w:val="20"/>
                <w:szCs w:val="20"/>
              </w:rPr>
              <w:t>, April 16, 2021</w:t>
            </w:r>
            <w:r w:rsidR="00627C20">
              <w:rPr>
                <w:rFonts w:ascii="Times New Roman" w:hAnsi="Times New Roman" w:cs="Times New Roman"/>
                <w:sz w:val="20"/>
                <w:szCs w:val="20"/>
              </w:rPr>
              <w:t>, August 30, 2021</w:t>
            </w:r>
          </w:p>
          <w:p w:rsidR="0019228D" w:rsidRPr="0083082C" w:rsidRDefault="005A697B" w:rsidP="005A697B">
            <w:pPr>
              <w:rPr>
                <w:rFonts w:ascii="Times New Roman" w:hAnsi="Times New Roman" w:cs="Times New Roman"/>
                <w:sz w:val="20"/>
                <w:szCs w:val="20"/>
              </w:rPr>
            </w:pPr>
            <w:r>
              <w:rPr>
                <w:rFonts w:ascii="Times New Roman" w:hAnsi="Times New Roman" w:cs="Times New Roman"/>
              </w:rPr>
              <w:t>August 30,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83082C">
        <w:rPr>
          <w:rFonts w:ascii="Times New Roman" w:hAnsi="Times New Roman" w:cs="Times New Roman"/>
          <w:sz w:val="20"/>
          <w:szCs w:val="20"/>
        </w:rPr>
        <w:t>dated</w:t>
      </w:r>
      <w:r w:rsidR="00DF01C5" w:rsidRPr="0083082C">
        <w:rPr>
          <w:rFonts w:ascii="Times New Roman" w:hAnsi="Times New Roman" w:cs="Times New Roman"/>
          <w:sz w:val="20"/>
          <w:szCs w:val="20"/>
        </w:rPr>
        <w:t xml:space="preserve"> </w:t>
      </w:r>
      <w:r w:rsidR="005A697B">
        <w:rPr>
          <w:rFonts w:ascii="Times New Roman" w:hAnsi="Times New Roman" w:cs="Times New Roman"/>
          <w:sz w:val="20"/>
          <w:szCs w:val="20"/>
        </w:rPr>
        <w:t>October 28</w:t>
      </w:r>
      <w:r w:rsidR="0091255B" w:rsidRPr="0083082C">
        <w:rPr>
          <w:rFonts w:ascii="Times New Roman" w:hAnsi="Times New Roman" w:cs="Times New Roman"/>
          <w:sz w:val="20"/>
          <w:szCs w:val="20"/>
        </w:rPr>
        <w:t>, 202</w:t>
      </w:r>
      <w:r w:rsidR="007832DB" w:rsidRPr="0083082C">
        <w:rPr>
          <w:rFonts w:ascii="Times New Roman" w:hAnsi="Times New Roman" w:cs="Times New Roman"/>
          <w:sz w:val="20"/>
          <w:szCs w:val="20"/>
        </w:rPr>
        <w:t>1</w:t>
      </w:r>
      <w:r w:rsidR="00DF01C5" w:rsidRPr="0083082C">
        <w:rPr>
          <w:rFonts w:ascii="Times New Roman" w:hAnsi="Times New Roman" w:cs="Times New Roman"/>
          <w:sz w:val="20"/>
          <w:szCs w:val="20"/>
        </w:rPr>
        <w:t xml:space="preserve"> </w:t>
      </w:r>
      <w:r w:rsidR="000E41DC" w:rsidRPr="0083082C">
        <w:rPr>
          <w:rFonts w:ascii="Times New Roman" w:hAnsi="Times New Roman" w:cs="Times New Roman"/>
          <w:sz w:val="20"/>
          <w:szCs w:val="20"/>
        </w:rPr>
        <w:t>w</w:t>
      </w:r>
      <w:r w:rsidR="00D2349E" w:rsidRPr="0083082C">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5A697B">
        <w:rPr>
          <w:rFonts w:ascii="Times New Roman" w:hAnsi="Times New Roman" w:cs="Times New Roman"/>
          <w:bCs/>
          <w:sz w:val="20"/>
          <w:szCs w:val="20"/>
        </w:rPr>
        <w:t xml:space="preserve">Dewan </w:t>
      </w:r>
      <w:proofErr w:type="spellStart"/>
      <w:r w:rsidR="005A697B">
        <w:rPr>
          <w:rFonts w:ascii="Times New Roman" w:hAnsi="Times New Roman" w:cs="Times New Roman"/>
          <w:bCs/>
          <w:sz w:val="20"/>
          <w:szCs w:val="20"/>
        </w:rPr>
        <w:t>Farooque</w:t>
      </w:r>
      <w:proofErr w:type="spellEnd"/>
      <w:r w:rsidR="005A697B">
        <w:rPr>
          <w:rFonts w:ascii="Times New Roman" w:hAnsi="Times New Roman" w:cs="Times New Roman"/>
          <w:bCs/>
          <w:sz w:val="20"/>
          <w:szCs w:val="20"/>
        </w:rPr>
        <w:t xml:space="preserve"> Motors </w:t>
      </w:r>
      <w:r w:rsidR="00E17FDB" w:rsidRPr="00A87E01">
        <w:rPr>
          <w:rFonts w:ascii="Times New Roman" w:hAnsi="Times New Roman" w:cs="Times New Roman"/>
          <w:bCs/>
          <w:sz w:val="20"/>
          <w:szCs w:val="20"/>
        </w:rPr>
        <w:t>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Show cause notice dated</w:t>
            </w:r>
            <w:r w:rsidR="0083082C">
              <w:rPr>
                <w:rFonts w:ascii="Times New Roman" w:hAnsi="Times New Roman" w:cs="Times New Roman"/>
                <w:sz w:val="20"/>
                <w:szCs w:val="20"/>
              </w:rPr>
              <w:t xml:space="preserve"> </w:t>
            </w:r>
            <w:r w:rsidR="005A697B">
              <w:rPr>
                <w:rFonts w:ascii="Times New Roman" w:hAnsi="Times New Roman" w:cs="Times New Roman"/>
                <w:sz w:val="20"/>
                <w:szCs w:val="20"/>
              </w:rPr>
              <w:t>June 18, 2020</w:t>
            </w:r>
            <w:r w:rsidR="00286F73" w:rsidRPr="00A87E01">
              <w:rPr>
                <w:rFonts w:ascii="Times New Roman" w:hAnsi="Times New Roman" w:cs="Times New Roman"/>
                <w:sz w:val="20"/>
                <w:szCs w:val="20"/>
              </w:rPr>
              <w:t xml:space="preserve"> </w:t>
            </w:r>
          </w:p>
        </w:tc>
      </w:tr>
      <w:tr w:rsidR="000E41DC" w:rsidRPr="00A87E01" w:rsidTr="0083082C">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shd w:val="clear" w:color="auto" w:fill="auto"/>
          </w:tcPr>
          <w:p w:rsidR="000E41DC" w:rsidRPr="0083082C" w:rsidRDefault="005A697B" w:rsidP="00B96DEA">
            <w:pPr>
              <w:jc w:val="both"/>
              <w:rPr>
                <w:rFonts w:ascii="Times New Roman" w:hAnsi="Times New Roman" w:cs="Times New Roman"/>
                <w:sz w:val="20"/>
                <w:szCs w:val="20"/>
                <w:highlight w:val="yellow"/>
              </w:rPr>
            </w:pPr>
            <w:r>
              <w:rPr>
                <w:rFonts w:ascii="Times New Roman" w:hAnsi="Times New Roman" w:cs="Times New Roman"/>
                <w:bCs/>
                <w:sz w:val="20"/>
                <w:szCs w:val="20"/>
              </w:rPr>
              <w:t xml:space="preserve">Dewan </w:t>
            </w:r>
            <w:proofErr w:type="spellStart"/>
            <w:r>
              <w:rPr>
                <w:rFonts w:ascii="Times New Roman" w:hAnsi="Times New Roman" w:cs="Times New Roman"/>
                <w:bCs/>
                <w:sz w:val="20"/>
                <w:szCs w:val="20"/>
              </w:rPr>
              <w:t>Farooque</w:t>
            </w:r>
            <w:proofErr w:type="spellEnd"/>
            <w:r>
              <w:rPr>
                <w:rFonts w:ascii="Times New Roman" w:hAnsi="Times New Roman" w:cs="Times New Roman"/>
                <w:bCs/>
                <w:sz w:val="20"/>
                <w:szCs w:val="20"/>
              </w:rPr>
              <w:t xml:space="preserve"> Motors </w:t>
            </w:r>
            <w:r w:rsidRPr="00A87E01">
              <w:rPr>
                <w:rFonts w:ascii="Times New Roman" w:hAnsi="Times New Roman" w:cs="Times New Roman"/>
                <w:bCs/>
                <w:sz w:val="20"/>
                <w:szCs w:val="20"/>
              </w:rPr>
              <w:t>Limited</w:t>
            </w:r>
            <w:r w:rsidR="002721B0">
              <w:rPr>
                <w:rFonts w:ascii="Times New Roman" w:hAnsi="Times New Roman" w:cs="Times New Roman"/>
                <w:bCs/>
                <w:sz w:val="20"/>
                <w:szCs w:val="20"/>
              </w:rPr>
              <w:t xml:space="preserve"> (DFML)</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The proceedings were initiated against the Board of Directors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5A697B" w:rsidP="0083082C">
            <w:pPr>
              <w:pStyle w:val="BodyText"/>
              <w:spacing w:after="0" w:line="276" w:lineRule="auto"/>
              <w:rPr>
                <w:rFonts w:ascii="Times New Roman" w:hAnsi="Times New Roman" w:cs="Times New Roman"/>
                <w:bCs/>
                <w:sz w:val="20"/>
                <w:szCs w:val="20"/>
              </w:rPr>
            </w:pPr>
            <w:r>
              <w:rPr>
                <w:rFonts w:ascii="Times New Roman" w:hAnsi="Times New Roman" w:cs="Times New Roman"/>
                <w:bCs/>
                <w:sz w:val="20"/>
                <w:szCs w:val="20"/>
              </w:rPr>
              <w:t>Under Section 199 read with Section 479 of the Companies Act, 2017</w:t>
            </w:r>
          </w:p>
        </w:tc>
      </w:tr>
      <w:tr w:rsidR="000E41DC" w:rsidRPr="00A87E01" w:rsidTr="00ED0C79">
        <w:tc>
          <w:tcPr>
            <w:tcW w:w="2605" w:type="dxa"/>
            <w:shd w:val="clear" w:color="auto" w:fill="auto"/>
          </w:tcPr>
          <w:p w:rsidR="00CC3C9B" w:rsidRPr="003B76E1" w:rsidRDefault="00CC3C9B" w:rsidP="00D60C49">
            <w:pPr>
              <w:pStyle w:val="NoSpacing"/>
              <w:numPr>
                <w:ilvl w:val="0"/>
                <w:numId w:val="41"/>
              </w:numPr>
              <w:rPr>
                <w:rFonts w:ascii="Times New Roman" w:hAnsi="Times New Roman" w:cs="Times New Roman"/>
                <w:sz w:val="20"/>
                <w:szCs w:val="20"/>
              </w:rPr>
            </w:pPr>
            <w:r w:rsidRPr="003B76E1">
              <w:rPr>
                <w:rFonts w:ascii="Times New Roman" w:hAnsi="Times New Roman" w:cs="Times New Roman"/>
                <w:sz w:val="20"/>
                <w:szCs w:val="20"/>
              </w:rPr>
              <w:t>Action</w:t>
            </w:r>
            <w:r w:rsidR="00DF01C5" w:rsidRPr="003B76E1">
              <w:rPr>
                <w:rFonts w:ascii="Times New Roman" w:hAnsi="Times New Roman" w:cs="Times New Roman"/>
                <w:sz w:val="20"/>
                <w:szCs w:val="20"/>
              </w:rPr>
              <w:t xml:space="preserve"> </w:t>
            </w:r>
            <w:r w:rsidRPr="003B76E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EC42F8" w:rsidRPr="0083082C" w:rsidRDefault="00EC42F8" w:rsidP="0083082C">
            <w:pPr>
              <w:pStyle w:val="Bodytext20"/>
              <w:shd w:val="clear" w:color="auto" w:fill="auto"/>
              <w:tabs>
                <w:tab w:val="left" w:pos="771"/>
              </w:tabs>
              <w:spacing w:before="0" w:after="0" w:line="276" w:lineRule="auto"/>
              <w:rPr>
                <w:rFonts w:ascii="Times New Roman" w:hAnsi="Times New Roman" w:cs="Times New Roman"/>
                <w:sz w:val="20"/>
                <w:szCs w:val="20"/>
              </w:rPr>
            </w:pPr>
            <w:r w:rsidRPr="0083082C">
              <w:rPr>
                <w:rFonts w:ascii="Times New Roman" w:hAnsi="Times New Roman" w:cs="Times New Roman"/>
                <w:sz w:val="20"/>
                <w:szCs w:val="20"/>
              </w:rPr>
              <w:t>Key findings were reported in following manner:</w:t>
            </w:r>
          </w:p>
          <w:p w:rsidR="000C5FC5" w:rsidRPr="0083082C" w:rsidRDefault="000C5FC5" w:rsidP="0083082C">
            <w:pPr>
              <w:pStyle w:val="Bodytext20"/>
              <w:shd w:val="clear" w:color="auto" w:fill="auto"/>
              <w:tabs>
                <w:tab w:val="left" w:pos="771"/>
              </w:tabs>
              <w:spacing w:before="0" w:after="0" w:line="276" w:lineRule="auto"/>
              <w:rPr>
                <w:rFonts w:ascii="Times New Roman" w:hAnsi="Times New Roman" w:cs="Times New Roman"/>
                <w:sz w:val="20"/>
                <w:szCs w:val="20"/>
              </w:rPr>
            </w:pPr>
          </w:p>
          <w:p w:rsidR="002721B0" w:rsidRDefault="00EC42F8" w:rsidP="00896B24">
            <w:pPr>
              <w:spacing w:after="416" w:line="276" w:lineRule="auto"/>
              <w:ind w:right="21"/>
              <w:jc w:val="both"/>
              <w:rPr>
                <w:rFonts w:ascii="Times New Roman" w:hAnsi="Times New Roman" w:cs="Times New Roman"/>
                <w:sz w:val="20"/>
                <w:szCs w:val="20"/>
              </w:rPr>
            </w:pPr>
            <w:r w:rsidRPr="005A697B">
              <w:rPr>
                <w:rFonts w:ascii="Times New Roman" w:hAnsi="Times New Roman" w:cs="Times New Roman"/>
                <w:sz w:val="20"/>
                <w:szCs w:val="20"/>
              </w:rPr>
              <w:t xml:space="preserve">I have gone through the facts of the case, </w:t>
            </w:r>
            <w:r w:rsidR="002721B0">
              <w:rPr>
                <w:rFonts w:ascii="Times New Roman" w:hAnsi="Times New Roman" w:cs="Times New Roman"/>
                <w:sz w:val="20"/>
                <w:szCs w:val="20"/>
              </w:rPr>
              <w:t>relevant legal provisions &amp; their requirements and submission made by the Respondents both in writing and verbally and observed that:</w:t>
            </w:r>
          </w:p>
          <w:p w:rsidR="002721B0" w:rsidRDefault="002721B0" w:rsidP="00896B24">
            <w:pPr>
              <w:ind w:left="538" w:right="23" w:hanging="425"/>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00063CD8">
              <w:rPr>
                <w:rFonts w:ascii="Times New Roman" w:hAnsi="Times New Roman" w:cs="Times New Roman"/>
                <w:sz w:val="20"/>
                <w:szCs w:val="20"/>
              </w:rPr>
              <w:t xml:space="preserve">    </w:t>
            </w:r>
            <w:proofErr w:type="spellStart"/>
            <w:r w:rsidR="005A697B">
              <w:rPr>
                <w:rFonts w:ascii="Times New Roman" w:hAnsi="Times New Roman" w:cs="Times New Roman"/>
                <w:sz w:val="20"/>
                <w:szCs w:val="20"/>
              </w:rPr>
              <w:t>Daehan</w:t>
            </w:r>
            <w:proofErr w:type="spellEnd"/>
            <w:r w:rsidR="005A697B">
              <w:rPr>
                <w:rFonts w:ascii="Times New Roman" w:hAnsi="Times New Roman" w:cs="Times New Roman"/>
                <w:sz w:val="20"/>
                <w:szCs w:val="20"/>
              </w:rPr>
              <w:t>-Dewan Motor Company (DDMC)</w:t>
            </w:r>
            <w:r w:rsidR="005A697B" w:rsidRPr="005A697B">
              <w:rPr>
                <w:rFonts w:ascii="Times New Roman" w:hAnsi="Times New Roman" w:cs="Times New Roman"/>
                <w:sz w:val="20"/>
                <w:szCs w:val="20"/>
              </w:rPr>
              <w:t xml:space="preserve"> is an associated company of </w:t>
            </w:r>
            <w:r w:rsidR="005A697B">
              <w:rPr>
                <w:rFonts w:ascii="Times New Roman" w:hAnsi="Times New Roman" w:cs="Times New Roman"/>
                <w:sz w:val="20"/>
                <w:szCs w:val="20"/>
              </w:rPr>
              <w:t>DFML</w:t>
            </w:r>
            <w:r w:rsidR="00063CD8">
              <w:rPr>
                <w:rFonts w:ascii="Times New Roman" w:hAnsi="Times New Roman" w:cs="Times New Roman"/>
                <w:sz w:val="20"/>
                <w:szCs w:val="20"/>
              </w:rPr>
              <w:t xml:space="preserve"> </w:t>
            </w:r>
            <w:r w:rsidR="005A697B" w:rsidRPr="005A697B">
              <w:rPr>
                <w:rFonts w:ascii="Times New Roman" w:hAnsi="Times New Roman" w:cs="Times New Roman"/>
                <w:sz w:val="20"/>
                <w:szCs w:val="20"/>
              </w:rPr>
              <w:t>and as at year ended June 30, 2018, an amount of Rs.74.830 million (2017: Rs.63.311 million) was receivable on account of shared expenses and sales to DDMC</w:t>
            </w:r>
            <w:r>
              <w:rPr>
                <w:rFonts w:ascii="Times New Roman" w:hAnsi="Times New Roman" w:cs="Times New Roman"/>
                <w:sz w:val="20"/>
                <w:szCs w:val="20"/>
              </w:rPr>
              <w:t>;</w:t>
            </w:r>
          </w:p>
          <w:p w:rsidR="002721B0" w:rsidRDefault="002721B0" w:rsidP="00896B24">
            <w:pPr>
              <w:ind w:left="538" w:right="23" w:hanging="425"/>
              <w:jc w:val="both"/>
              <w:rPr>
                <w:rFonts w:ascii="Times New Roman" w:hAnsi="Times New Roman" w:cs="Times New Roman"/>
                <w:sz w:val="20"/>
                <w:szCs w:val="20"/>
              </w:rPr>
            </w:pPr>
            <w:r>
              <w:rPr>
                <w:rFonts w:ascii="Times New Roman" w:hAnsi="Times New Roman" w:cs="Times New Roman"/>
                <w:sz w:val="20"/>
                <w:szCs w:val="20"/>
              </w:rPr>
              <w:t>ii)</w:t>
            </w:r>
            <w:r w:rsidR="005A697B" w:rsidRPr="005A697B">
              <w:rPr>
                <w:rFonts w:ascii="Times New Roman" w:hAnsi="Times New Roman" w:cs="Times New Roman"/>
                <w:sz w:val="20"/>
                <w:szCs w:val="20"/>
              </w:rPr>
              <w:t xml:space="preserve"> </w:t>
            </w:r>
            <w:r w:rsidR="00063CD8">
              <w:rPr>
                <w:rFonts w:ascii="Times New Roman" w:hAnsi="Times New Roman" w:cs="Times New Roman"/>
                <w:sz w:val="20"/>
                <w:szCs w:val="20"/>
              </w:rPr>
              <w:t xml:space="preserve">    </w:t>
            </w:r>
            <w:r>
              <w:rPr>
                <w:rFonts w:ascii="Times New Roman" w:hAnsi="Times New Roman" w:cs="Times New Roman"/>
                <w:sz w:val="20"/>
                <w:szCs w:val="20"/>
              </w:rPr>
              <w:t>o</w:t>
            </w:r>
            <w:r w:rsidR="005A697B" w:rsidRPr="005A697B">
              <w:rPr>
                <w:rFonts w:ascii="Times New Roman" w:hAnsi="Times New Roman" w:cs="Times New Roman"/>
                <w:sz w:val="20"/>
                <w:szCs w:val="20"/>
              </w:rPr>
              <w:t>ut of total amount extended to DDMC</w:t>
            </w:r>
            <w:r>
              <w:rPr>
                <w:rFonts w:ascii="Times New Roman" w:hAnsi="Times New Roman" w:cs="Times New Roman"/>
                <w:sz w:val="20"/>
                <w:szCs w:val="20"/>
              </w:rPr>
              <w:t>,</w:t>
            </w:r>
            <w:r w:rsidR="005A697B" w:rsidRPr="005A697B">
              <w:rPr>
                <w:rFonts w:ascii="Times New Roman" w:hAnsi="Times New Roman" w:cs="Times New Roman"/>
                <w:sz w:val="20"/>
                <w:szCs w:val="20"/>
              </w:rPr>
              <w:t xml:space="preserve"> Rs.40.533 million was on account of trade debts with extended credit period of 150 days and no markup was charged on such abnormal trade credit; </w:t>
            </w:r>
          </w:p>
          <w:p w:rsidR="005A697B" w:rsidRDefault="002721B0" w:rsidP="00896B24">
            <w:pPr>
              <w:ind w:left="538" w:right="23" w:hanging="425"/>
              <w:jc w:val="both"/>
              <w:rPr>
                <w:rFonts w:ascii="Times New Roman" w:hAnsi="Times New Roman" w:cs="Times New Roman"/>
                <w:sz w:val="20"/>
                <w:szCs w:val="20"/>
              </w:rPr>
            </w:pPr>
            <w:r>
              <w:rPr>
                <w:rFonts w:ascii="Times New Roman" w:hAnsi="Times New Roman" w:cs="Times New Roman"/>
                <w:sz w:val="20"/>
                <w:szCs w:val="20"/>
              </w:rPr>
              <w:t xml:space="preserve">iii) </w:t>
            </w:r>
            <w:r w:rsidR="00063CD8">
              <w:rPr>
                <w:rFonts w:ascii="Times New Roman" w:hAnsi="Times New Roman" w:cs="Times New Roman"/>
                <w:sz w:val="20"/>
                <w:szCs w:val="20"/>
              </w:rPr>
              <w:t xml:space="preserve">   </w:t>
            </w:r>
            <w:r w:rsidR="005A697B" w:rsidRPr="005A697B">
              <w:rPr>
                <w:rFonts w:ascii="Times New Roman" w:hAnsi="Times New Roman" w:cs="Times New Roman"/>
                <w:sz w:val="20"/>
                <w:szCs w:val="20"/>
              </w:rPr>
              <w:t>and an amount of Rs.34.295 million was outstanding on account of shared expenses and no markup was charged on such outstanding amount.</w:t>
            </w:r>
          </w:p>
          <w:p w:rsidR="00063CD8" w:rsidRPr="005A697B" w:rsidRDefault="00063CD8" w:rsidP="00896B24">
            <w:pPr>
              <w:ind w:left="538" w:right="23" w:hanging="425"/>
              <w:rPr>
                <w:sz w:val="20"/>
                <w:szCs w:val="20"/>
              </w:rPr>
            </w:pPr>
          </w:p>
          <w:p w:rsidR="005A697B" w:rsidRPr="005A697B" w:rsidRDefault="005A697B" w:rsidP="00896B24">
            <w:pPr>
              <w:pStyle w:val="Default"/>
              <w:spacing w:line="276" w:lineRule="auto"/>
              <w:jc w:val="both"/>
              <w:rPr>
                <w:rFonts w:ascii="Times New Roman" w:eastAsia="Times New Roman" w:hAnsi="Times New Roman" w:cs="Times New Roman"/>
                <w:sz w:val="20"/>
                <w:szCs w:val="20"/>
              </w:rPr>
            </w:pPr>
            <w:r w:rsidRPr="005A697B">
              <w:rPr>
                <w:rFonts w:ascii="Times New Roman" w:eastAsia="Times New Roman" w:hAnsi="Times New Roman" w:cs="Times New Roman"/>
                <w:sz w:val="20"/>
                <w:szCs w:val="20"/>
              </w:rPr>
              <w:t>In view of the above, the amount receivable from DDMC was not in nature of normal trade credit and no markup / interest was being charged on amount extended to DDMC. Therefore, I am of the considered view that the respondents have defaulted in compliance of subsection (1) of Section 199 of the Act. It is however noted that the Company has provided financial statements for year ended June 30, 2019 reflecting recovery of trade debt receivable from DDMC. Taking cognizance of the submissions of the Respondents and in terms of powers conferred under subsection (6) of section 199 of the Act, I hereby impose a cumulative penalty of</w:t>
            </w:r>
            <w:r>
              <w:rPr>
                <w:rFonts w:ascii="Times New Roman" w:eastAsia="Times New Roman" w:hAnsi="Times New Roman" w:cs="Times New Roman"/>
                <w:sz w:val="20"/>
                <w:szCs w:val="20"/>
              </w:rPr>
              <w:t xml:space="preserve"> </w:t>
            </w:r>
            <w:r w:rsidRPr="005A697B">
              <w:rPr>
                <w:rFonts w:ascii="Times New Roman" w:eastAsia="Times New Roman" w:hAnsi="Times New Roman" w:cs="Times New Roman"/>
                <w:sz w:val="20"/>
                <w:szCs w:val="20"/>
              </w:rPr>
              <w:t>Rs. 70,000 on the Respondents.</w:t>
            </w:r>
          </w:p>
          <w:p w:rsidR="005A697B" w:rsidRPr="005A697B" w:rsidRDefault="005A697B" w:rsidP="00896B24">
            <w:pPr>
              <w:pStyle w:val="Default"/>
              <w:spacing w:line="276" w:lineRule="auto"/>
              <w:rPr>
                <w:sz w:val="20"/>
                <w:szCs w:val="20"/>
              </w:rPr>
            </w:pPr>
            <w:r w:rsidRPr="005A697B">
              <w:rPr>
                <w:rFonts w:ascii="Times New Roman" w:eastAsia="Times New Roman" w:hAnsi="Times New Roman" w:cs="Times New Roman"/>
                <w:sz w:val="20"/>
                <w:szCs w:val="20"/>
              </w:rPr>
              <w:t xml:space="preserve"> </w:t>
            </w:r>
          </w:p>
          <w:p w:rsidR="0083082C" w:rsidRPr="005A697B" w:rsidRDefault="0083082C" w:rsidP="005A697B">
            <w:pPr>
              <w:spacing w:after="371" w:line="276" w:lineRule="auto"/>
              <w:ind w:right="21"/>
              <w:jc w:val="both"/>
            </w:pPr>
            <w:r w:rsidRPr="005A697B">
              <w:rPr>
                <w:rFonts w:ascii="Times New Roman" w:hAnsi="Times New Roman" w:cs="Times New Roman"/>
                <w:sz w:val="20"/>
                <w:szCs w:val="20"/>
              </w:rPr>
              <w:lastRenderedPageBreak/>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lastRenderedPageBreak/>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83082C">
            <w:pPr>
              <w:pStyle w:val="Default"/>
              <w:spacing w:line="276" w:lineRule="auto"/>
              <w:jc w:val="both"/>
              <w:rPr>
                <w:rFonts w:ascii="Times New Roman" w:hAnsi="Times New Roman" w:cs="Times New Roman"/>
                <w:sz w:val="20"/>
                <w:szCs w:val="20"/>
              </w:rPr>
            </w:pPr>
            <w:r w:rsidRPr="00A87E01">
              <w:rPr>
                <w:rFonts w:ascii="Times New Roman" w:hAnsi="Times New Roman" w:cs="Times New Roman"/>
                <w:sz w:val="20"/>
                <w:szCs w:val="20"/>
              </w:rPr>
              <w:t xml:space="preserve">A </w:t>
            </w:r>
            <w:r w:rsidR="00063CD8">
              <w:rPr>
                <w:rFonts w:ascii="Times New Roman" w:hAnsi="Times New Roman" w:cs="Times New Roman"/>
                <w:sz w:val="20"/>
                <w:szCs w:val="20"/>
              </w:rPr>
              <w:t xml:space="preserve">cumulative </w:t>
            </w:r>
            <w:r w:rsidRPr="00A87E01">
              <w:rPr>
                <w:rFonts w:ascii="Times New Roman" w:hAnsi="Times New Roman" w:cs="Times New Roman"/>
                <w:sz w:val="20"/>
                <w:szCs w:val="20"/>
              </w:rPr>
              <w:t xml:space="preserve">Penalty of </w:t>
            </w:r>
            <w:r w:rsidRPr="0083082C">
              <w:rPr>
                <w:rFonts w:ascii="Times New Roman" w:hAnsi="Times New Roman" w:cs="Times New Roman"/>
                <w:sz w:val="20"/>
                <w:szCs w:val="20"/>
              </w:rPr>
              <w:t xml:space="preserve">Rs. </w:t>
            </w:r>
            <w:r w:rsidR="005A697B">
              <w:rPr>
                <w:rFonts w:ascii="Times New Roman" w:hAnsi="Times New Roman" w:cs="Times New Roman"/>
                <w:sz w:val="20"/>
                <w:szCs w:val="20"/>
              </w:rPr>
              <w:t>70</w:t>
            </w:r>
            <w:r w:rsidRPr="0083082C">
              <w:rPr>
                <w:rFonts w:ascii="Times New Roman" w:hAnsi="Times New Roman" w:cs="Times New Roman"/>
                <w:sz w:val="20"/>
                <w:szCs w:val="20"/>
              </w:rPr>
              <w:t xml:space="preserve">,000/- (Rupees </w:t>
            </w:r>
            <w:r w:rsidR="005A697B">
              <w:rPr>
                <w:rFonts w:ascii="Times New Roman" w:hAnsi="Times New Roman" w:cs="Times New Roman"/>
                <w:sz w:val="20"/>
                <w:szCs w:val="20"/>
              </w:rPr>
              <w:t>Seventy</w:t>
            </w:r>
            <w:r w:rsidRPr="0083082C">
              <w:rPr>
                <w:rFonts w:ascii="Times New Roman" w:hAnsi="Times New Roman" w:cs="Times New Roman"/>
                <w:sz w:val="20"/>
                <w:szCs w:val="20"/>
              </w:rPr>
              <w:t xml:space="preserve"> thousand only) was</w:t>
            </w:r>
            <w:r w:rsidRPr="00A87E01">
              <w:rPr>
                <w:rFonts w:ascii="Times New Roman" w:hAnsi="Times New Roman" w:cs="Times New Roman"/>
                <w:sz w:val="20"/>
                <w:szCs w:val="20"/>
              </w:rPr>
              <w:t xml:space="preserve"> imposed on the Respondents. </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A87E01" w:rsidRDefault="000C5FC5" w:rsidP="00B96DEA">
            <w:pPr>
              <w:jc w:val="both"/>
              <w:rPr>
                <w:rFonts w:ascii="Times New Roman" w:hAnsi="Times New Roman" w:cs="Times New Roman"/>
                <w:sz w:val="20"/>
                <w:szCs w:val="20"/>
              </w:rPr>
            </w:pPr>
            <w:r w:rsidRPr="008F13CE">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C70" w:rsidRDefault="00EF7C70" w:rsidP="009F3AF3">
      <w:r>
        <w:separator/>
      </w:r>
    </w:p>
  </w:endnote>
  <w:endnote w:type="continuationSeparator" w:id="0">
    <w:p w:rsidR="00EF7C70" w:rsidRDefault="00EF7C70"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C70" w:rsidRDefault="00EF7C70" w:rsidP="009F3AF3">
      <w:r>
        <w:separator/>
      </w:r>
    </w:p>
  </w:footnote>
  <w:footnote w:type="continuationSeparator" w:id="0">
    <w:p w:rsidR="00EF7C70" w:rsidRDefault="00EF7C70"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EF7C70"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23" w:name="_Hlk118279826"/>
                    <w:bookmarkStart w:id="24" w:name="_Hlk118279827"/>
                    <w:r>
                      <w:rPr>
                        <w:rFonts w:ascii="Times New Roman" w:hAnsi="Times New Roman" w:cs="Times New Roman"/>
                        <w:b/>
                        <w:color w:val="116C65"/>
                      </w:rPr>
                      <w:t xml:space="preserve">  Adjudication Division</w:t>
                    </w:r>
                    <w:bookmarkEnd w:id="23"/>
                    <w:bookmarkEnd w:id="2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7" w:name="_Hlk118279845"/>
                    <w:bookmarkStart w:id="28" w:name="_Hlk118279846"/>
                    <w:r>
                      <w:rPr>
                        <w:rFonts w:ascii="Times New Roman" w:hAnsi="Times New Roman" w:cs="Times New Roman"/>
                        <w:b/>
                        <w:color w:val="116C65"/>
                      </w:rPr>
                      <w:t>Adjudication Department</w:t>
                    </w:r>
                    <w:bookmarkEnd w:id="27"/>
                    <w:bookmarkEnd w:id="2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31" w:name="_Hlk118279795"/>
                    <w:bookmarkStart w:id="32" w:name="_Hlk118279796"/>
                    <w:r>
                      <w:rPr>
                        <w:rFonts w:ascii="Times New Roman" w:hAnsi="Times New Roman" w:cs="Times New Roman"/>
                        <w:b/>
                        <w:color w:val="116C65"/>
                        <w:sz w:val="34"/>
                      </w:rPr>
                      <w:t xml:space="preserve">     Securities and Exchange Commission of Pakistan</w:t>
                    </w:r>
                    <w:bookmarkEnd w:id="31"/>
                    <w:bookmarkEnd w:id="3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8"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C6C81"/>
    <w:multiLevelType w:val="hybridMultilevel"/>
    <w:tmpl w:val="C5387C52"/>
    <w:lvl w:ilvl="0" w:tplc="C7E2BFD6">
      <w:start w:val="9"/>
      <w:numFmt w:val="decimal"/>
      <w:lvlText w:val="%1."/>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A84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070CC">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0EF32">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C474A">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A9CCA">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4C6F8">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613C0">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C2F6E">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A23BE9"/>
    <w:multiLevelType w:val="hybridMultilevel"/>
    <w:tmpl w:val="2FB474EA"/>
    <w:lvl w:ilvl="0" w:tplc="A63AAEB2">
      <w:start w:val="6"/>
      <w:numFmt w:val="decimal"/>
      <w:lvlText w:val="%1."/>
      <w:lvlJc w:val="left"/>
      <w:pPr>
        <w:ind w:left="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629296">
      <w:start w:val="1"/>
      <w:numFmt w:val="lowerLetter"/>
      <w:lvlText w:val="%2"/>
      <w:lvlJc w:val="left"/>
      <w:pPr>
        <w:ind w:left="1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D60C20">
      <w:start w:val="1"/>
      <w:numFmt w:val="lowerRoman"/>
      <w:lvlText w:val="%3"/>
      <w:lvlJc w:val="left"/>
      <w:pPr>
        <w:ind w:left="1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36CF644">
      <w:start w:val="1"/>
      <w:numFmt w:val="decimal"/>
      <w:lvlText w:val="%4"/>
      <w:lvlJc w:val="left"/>
      <w:pPr>
        <w:ind w:left="2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98D4CC">
      <w:start w:val="1"/>
      <w:numFmt w:val="lowerLetter"/>
      <w:lvlText w:val="%5"/>
      <w:lvlJc w:val="left"/>
      <w:pPr>
        <w:ind w:left="32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2EF39C">
      <w:start w:val="1"/>
      <w:numFmt w:val="lowerRoman"/>
      <w:lvlText w:val="%6"/>
      <w:lvlJc w:val="left"/>
      <w:pPr>
        <w:ind w:left="39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B9E9748">
      <w:start w:val="1"/>
      <w:numFmt w:val="decimal"/>
      <w:lvlText w:val="%7"/>
      <w:lvlJc w:val="left"/>
      <w:pPr>
        <w:ind w:left="46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78C49D2">
      <w:start w:val="1"/>
      <w:numFmt w:val="lowerLetter"/>
      <w:lvlText w:val="%8"/>
      <w:lvlJc w:val="left"/>
      <w:pPr>
        <w:ind w:left="5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CE6D96">
      <w:start w:val="1"/>
      <w:numFmt w:val="lowerRoman"/>
      <w:lvlText w:val="%9"/>
      <w:lvlJc w:val="left"/>
      <w:pPr>
        <w:ind w:left="61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7"/>
  </w:num>
  <w:num w:numId="25">
    <w:abstractNumId w:val="38"/>
  </w:num>
  <w:num w:numId="26">
    <w:abstractNumId w:val="13"/>
  </w:num>
  <w:num w:numId="27">
    <w:abstractNumId w:val="9"/>
  </w:num>
  <w:num w:numId="28">
    <w:abstractNumId w:val="35"/>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4"/>
  </w:num>
  <w:num w:numId="34">
    <w:abstractNumId w:val="25"/>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34"/>
  </w:num>
  <w:num w:numId="4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2728"/>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3CD8"/>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1B0"/>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6E1"/>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697B"/>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27C20"/>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369D"/>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082C"/>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6B24"/>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3CE"/>
    <w:rsid w:val="008F15EF"/>
    <w:rsid w:val="008F3443"/>
    <w:rsid w:val="008F57FF"/>
    <w:rsid w:val="008F5DE6"/>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2175"/>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5EBA"/>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2EC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0E65"/>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345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5895"/>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C70"/>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537B-C831-473D-85A9-370A9F17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2022-11-22T11:10:00Z</dcterms:created>
  <dcterms:modified xsi:type="dcterms:W3CDTF">2022-11-22T11:10:00Z</dcterms:modified>
</cp:coreProperties>
</file>