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192BA5" w:rsidRPr="00CD59D7" w:rsidRDefault="00A179C1" w:rsidP="00192BA5">
      <w:pPr>
        <w:pStyle w:val="NormalWeb"/>
        <w:spacing w:line="276" w:lineRule="auto"/>
        <w:jc w:val="center"/>
        <w:rPr>
          <w:rFonts w:ascii="Book Antiqua" w:hAnsi="Book Antiqua"/>
          <w:b/>
          <w:sz w:val="22"/>
          <w:szCs w:val="22"/>
        </w:rPr>
      </w:pPr>
      <w:r w:rsidRPr="00401803">
        <w:rPr>
          <w:rFonts w:ascii="Book Antiqua" w:hAnsi="Book Antiqua"/>
          <w:b/>
          <w:sz w:val="22"/>
          <w:szCs w:val="22"/>
        </w:rPr>
        <w:t>Amir M Khan Afridi – Director/ Head of Department</w:t>
      </w:r>
    </w:p>
    <w:p w:rsidR="007F33F3" w:rsidRPr="003E0610" w:rsidRDefault="007F33F3" w:rsidP="007F33F3">
      <w:pPr>
        <w:jc w:val="both"/>
        <w:rPr>
          <w:rFonts w:ascii="Book Antiqua" w:hAnsi="Book Antiqua" w:cs="Times New Roman"/>
          <w:b/>
          <w:bCs/>
          <w:sz w:val="22"/>
          <w:szCs w:val="22"/>
          <w:u w:val="single"/>
        </w:rPr>
      </w:pPr>
    </w:p>
    <w:p w:rsidR="00A179C1" w:rsidRPr="00401803" w:rsidRDefault="007F33F3" w:rsidP="00A179C1">
      <w:pPr>
        <w:spacing w:line="276" w:lineRule="auto"/>
        <w:jc w:val="center"/>
        <w:rPr>
          <w:rFonts w:ascii="Book Antiqua" w:hAnsi="Book Antiqua"/>
          <w:b/>
          <w:sz w:val="22"/>
          <w:szCs w:val="22"/>
        </w:rPr>
      </w:pPr>
      <w:r w:rsidRPr="003E0610">
        <w:rPr>
          <w:rFonts w:ascii="Book Antiqua" w:hAnsi="Book Antiqua" w:cs="Times New Roman"/>
          <w:b/>
          <w:bCs/>
          <w:sz w:val="22"/>
          <w:szCs w:val="22"/>
          <w:u w:val="single"/>
        </w:rPr>
        <w:t>In the matter of</w:t>
      </w:r>
      <w:r w:rsidR="0088646B" w:rsidRPr="003E0610">
        <w:rPr>
          <w:rFonts w:ascii="Book Antiqua" w:hAnsi="Book Antiqua" w:cs="Times New Roman"/>
          <w:b/>
          <w:bCs/>
          <w:sz w:val="22"/>
          <w:szCs w:val="22"/>
          <w:u w:val="single"/>
        </w:rPr>
        <w:t xml:space="preserve"> Show Cause Notice issued </w:t>
      </w:r>
      <w:r w:rsidR="0088646B" w:rsidRPr="00454F25">
        <w:rPr>
          <w:rFonts w:ascii="Book Antiqua" w:hAnsi="Book Antiqua" w:cs="Times New Roman"/>
          <w:b/>
          <w:bCs/>
          <w:sz w:val="22"/>
          <w:szCs w:val="22"/>
          <w:u w:val="single"/>
        </w:rPr>
        <w:t>to</w:t>
      </w:r>
      <w:r w:rsidR="00F6183A" w:rsidRPr="00454F25">
        <w:rPr>
          <w:rFonts w:ascii="Book Antiqua" w:hAnsi="Book Antiqua" w:cs="Times New Roman"/>
          <w:b/>
          <w:bCs/>
          <w:sz w:val="22"/>
          <w:szCs w:val="22"/>
          <w:u w:val="single"/>
        </w:rPr>
        <w:t xml:space="preserve"> </w:t>
      </w:r>
      <w:r w:rsidR="00A179C1" w:rsidRPr="00A179C1">
        <w:rPr>
          <w:rFonts w:ascii="Book Antiqua" w:hAnsi="Book Antiqua"/>
          <w:b/>
          <w:sz w:val="22"/>
          <w:szCs w:val="22"/>
          <w:u w:val="single"/>
        </w:rPr>
        <w:t>Fateh Sports Wear Limited</w:t>
      </w:r>
    </w:p>
    <w:p w:rsidR="007F33F3" w:rsidRPr="00A179C1" w:rsidRDefault="00454F25" w:rsidP="00A179C1">
      <w:pPr>
        <w:tabs>
          <w:tab w:val="left" w:pos="1080"/>
        </w:tabs>
        <w:spacing w:line="276" w:lineRule="auto"/>
        <w:jc w:val="center"/>
        <w:rPr>
          <w:rFonts w:ascii="Book Antiqua" w:hAnsi="Book Antiqua"/>
          <w:b/>
          <w:sz w:val="22"/>
          <w:szCs w:val="22"/>
        </w:rPr>
      </w:pPr>
      <w:r w:rsidRPr="0032580E">
        <w:rPr>
          <w:rFonts w:ascii="Book Antiqua" w:hAnsi="Book Antiqua"/>
          <w:b/>
          <w:sz w:val="22"/>
          <w:szCs w:val="22"/>
        </w:rPr>
        <w:t xml:space="preserve"> </w:t>
      </w: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A179C1" w:rsidP="00A179C1">
            <w:pPr>
              <w:spacing w:line="276" w:lineRule="auto"/>
              <w:rPr>
                <w:rFonts w:ascii="Book Antiqua" w:hAnsi="Book Antiqua"/>
                <w:sz w:val="22"/>
                <w:szCs w:val="22"/>
              </w:rPr>
            </w:pPr>
            <w:r w:rsidRPr="00401803">
              <w:rPr>
                <w:rFonts w:ascii="Book Antiqua" w:hAnsi="Book Antiqua"/>
                <w:sz w:val="22"/>
                <w:szCs w:val="22"/>
              </w:rPr>
              <w:t>May 28, 2022</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A179C1">
        <w:rPr>
          <w:rFonts w:ascii="Book Antiqua" w:hAnsi="Book Antiqua" w:cs="Times New Roman"/>
          <w:sz w:val="22"/>
          <w:szCs w:val="22"/>
        </w:rPr>
        <w:t>July</w:t>
      </w:r>
      <w:r w:rsidR="00192BA5">
        <w:rPr>
          <w:rFonts w:ascii="Book Antiqua" w:hAnsi="Book Antiqua" w:cs="Times New Roman"/>
          <w:sz w:val="22"/>
          <w:szCs w:val="22"/>
        </w:rPr>
        <w:t xml:space="preserve"> 2</w:t>
      </w:r>
      <w:r w:rsidR="00454F25">
        <w:rPr>
          <w:rFonts w:ascii="Book Antiqua" w:hAnsi="Book Antiqua" w:cs="Times New Roman"/>
          <w:sz w:val="22"/>
          <w:szCs w:val="22"/>
        </w:rPr>
        <w:t>8</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r w:rsidR="00A179C1" w:rsidRPr="00401803">
        <w:rPr>
          <w:rFonts w:ascii="Book Antiqua" w:hAnsi="Book Antiqua"/>
          <w:sz w:val="22"/>
          <w:szCs w:val="22"/>
        </w:rPr>
        <w:t>Fateh Sports</w:t>
      </w:r>
      <w:r w:rsidR="00A179C1">
        <w:rPr>
          <w:rFonts w:ascii="Book Antiqua" w:hAnsi="Book Antiqua"/>
          <w:sz w:val="22"/>
          <w:szCs w:val="22"/>
        </w:rPr>
        <w:t xml:space="preserve"> </w:t>
      </w:r>
      <w:r w:rsidR="00A179C1" w:rsidRPr="00401803">
        <w:rPr>
          <w:rFonts w:ascii="Book Antiqua" w:hAnsi="Book Antiqua"/>
          <w:sz w:val="22"/>
          <w:szCs w:val="22"/>
        </w:rPr>
        <w:t>Wear Limited</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A179C1" w:rsidRPr="00401803">
              <w:rPr>
                <w:rFonts w:ascii="Book Antiqua" w:hAnsi="Book Antiqua" w:cs="Times New Roman"/>
                <w:sz w:val="22"/>
                <w:szCs w:val="22"/>
              </w:rPr>
              <w:t xml:space="preserve">April </w:t>
            </w:r>
            <w:r w:rsidR="00A179C1">
              <w:rPr>
                <w:rFonts w:ascii="Book Antiqua" w:hAnsi="Book Antiqua" w:cs="Times New Roman"/>
                <w:sz w:val="22"/>
                <w:szCs w:val="22"/>
              </w:rPr>
              <w:t>12</w:t>
            </w:r>
            <w:r w:rsidR="00A179C1" w:rsidRPr="00401803">
              <w:rPr>
                <w:rFonts w:ascii="Book Antiqua" w:hAnsi="Book Antiqua" w:cs="Times New Roman"/>
                <w:sz w:val="22"/>
                <w:szCs w:val="22"/>
              </w:rPr>
              <w:t>, 2022</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A179C1" w:rsidP="00991511">
            <w:pPr>
              <w:jc w:val="both"/>
              <w:rPr>
                <w:rFonts w:ascii="Book Antiqua" w:hAnsi="Book Antiqua" w:cs="Times New Roman"/>
                <w:sz w:val="22"/>
                <w:szCs w:val="22"/>
              </w:rPr>
            </w:pPr>
            <w:r w:rsidRPr="00401803">
              <w:rPr>
                <w:rFonts w:ascii="Book Antiqua" w:hAnsi="Book Antiqua"/>
                <w:sz w:val="22"/>
                <w:szCs w:val="22"/>
              </w:rPr>
              <w:t>Fateh Sports</w:t>
            </w:r>
            <w:r>
              <w:rPr>
                <w:rFonts w:ascii="Book Antiqua" w:hAnsi="Book Antiqua"/>
                <w:sz w:val="22"/>
                <w:szCs w:val="22"/>
              </w:rPr>
              <w:t xml:space="preserve"> </w:t>
            </w:r>
            <w:r w:rsidRPr="00401803">
              <w:rPr>
                <w:rFonts w:ascii="Book Antiqua" w:hAnsi="Book Antiqua"/>
                <w:sz w:val="22"/>
                <w:szCs w:val="22"/>
              </w:rPr>
              <w:t>Wear 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Individual</w:t>
            </w:r>
          </w:p>
        </w:tc>
        <w:tc>
          <w:tcPr>
            <w:tcW w:w="6660" w:type="dxa"/>
          </w:tcPr>
          <w:p w:rsidR="00FD6E1D" w:rsidRPr="003E0610" w:rsidRDefault="00FD6E1D" w:rsidP="00FD6E1D">
            <w:pPr>
              <w:jc w:val="both"/>
              <w:rPr>
                <w:rFonts w:ascii="Book Antiqua" w:hAnsi="Book Antiqua" w:cs="Times New Roman"/>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board of directors of the</w:t>
            </w:r>
            <w:r w:rsidRPr="003E0610">
              <w:rPr>
                <w:rFonts w:ascii="Book Antiqua" w:hAnsi="Book Antiqua" w:cs="Times New Roman"/>
                <w:sz w:val="22"/>
                <w:szCs w:val="22"/>
              </w:rPr>
              <w:t xml:space="preserve"> Company </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454F25"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177C10" w:rsidRPr="004F31AE">
              <w:rPr>
                <w:rFonts w:ascii="Book Antiqua" w:hAnsi="Book Antiqua"/>
                <w:sz w:val="22"/>
                <w:szCs w:val="22"/>
              </w:rPr>
              <w:t xml:space="preserve">Regulation 6 and Regulation 27 of the Listed Companies (Code of Corporate Governance) Regulations, 2019 </w:t>
            </w:r>
            <w:r w:rsidR="00177C10">
              <w:rPr>
                <w:rFonts w:ascii="Book Antiqua" w:hAnsi="Book Antiqua"/>
                <w:sz w:val="22"/>
                <w:szCs w:val="22"/>
              </w:rPr>
              <w:t>(</w:t>
            </w:r>
            <w:r w:rsidR="00177C10" w:rsidRPr="00B15D51">
              <w:rPr>
                <w:rFonts w:ascii="Book Antiqua" w:hAnsi="Book Antiqua"/>
                <w:b/>
                <w:sz w:val="22"/>
                <w:szCs w:val="22"/>
              </w:rPr>
              <w:t>the Regulations</w:t>
            </w:r>
            <w:r w:rsidR="00177C10">
              <w:rPr>
                <w:rFonts w:ascii="Book Antiqua" w:hAnsi="Book Antiqua"/>
                <w:sz w:val="22"/>
                <w:szCs w:val="22"/>
              </w:rPr>
              <w:t xml:space="preserve">) </w:t>
            </w:r>
            <w:r w:rsidR="00177C10" w:rsidRPr="004F31AE">
              <w:rPr>
                <w:rFonts w:ascii="Book Antiqua" w:hAnsi="Book Antiqua"/>
                <w:sz w:val="22"/>
                <w:szCs w:val="22"/>
              </w:rPr>
              <w:t>read with Regulation 37 thereof and Section 512 of the Companies Act, 2017</w:t>
            </w:r>
          </w:p>
          <w:p w:rsidR="00A179C1" w:rsidRPr="003E0610" w:rsidRDefault="00A179C1" w:rsidP="003E0610">
            <w:pPr>
              <w:jc w:val="both"/>
              <w:rPr>
                <w:rFonts w:ascii="Book Antiqua" w:hAnsi="Book Antiqua"/>
                <w:sz w:val="22"/>
                <w:szCs w:val="22"/>
              </w:rPr>
            </w:pPr>
          </w:p>
          <w:p w:rsidR="003E0610" w:rsidRPr="003E0610" w:rsidRDefault="00177C10" w:rsidP="00FE6A81">
            <w:pPr>
              <w:pStyle w:val="BodyText"/>
              <w:jc w:val="both"/>
              <w:rPr>
                <w:rFonts w:ascii="Book Antiqua" w:hAnsi="Book Antiqua" w:cs="Times New Roman"/>
                <w:sz w:val="22"/>
                <w:szCs w:val="22"/>
              </w:rPr>
            </w:pPr>
            <w:r w:rsidRPr="00372F2C">
              <w:rPr>
                <w:rFonts w:ascii="Book Antiqua" w:hAnsi="Book Antiqua"/>
                <w:sz w:val="22"/>
                <w:szCs w:val="22"/>
              </w:rPr>
              <w:t>Facts of the case are that examination of the financial statements for the year ended June 30, 2020 transpired that there were no independent directors on the board of the Company and also the Chairman of the audit committee is not an independent director which is contravention of regulation 6 and regulation 27, respectively, of the Regulations. The Company elected seven directors in the extraordinary general meeting (</w:t>
            </w:r>
            <w:r w:rsidRPr="00372F2C">
              <w:rPr>
                <w:rFonts w:ascii="Book Antiqua" w:hAnsi="Book Antiqua"/>
                <w:b/>
                <w:sz w:val="22"/>
                <w:szCs w:val="22"/>
              </w:rPr>
              <w:t>the EOGM</w:t>
            </w:r>
            <w:r w:rsidRPr="00372F2C">
              <w:rPr>
                <w:rFonts w:ascii="Book Antiqua" w:hAnsi="Book Antiqua"/>
                <w:sz w:val="22"/>
                <w:szCs w:val="22"/>
              </w:rPr>
              <w:t xml:space="preserve">) held on June 10, 2021 however despite the requirement of appointing at least two (2) independent directors in terms of regulation 6 of the Regulations, no independent director was elected. </w:t>
            </w:r>
          </w:p>
        </w:tc>
      </w:tr>
      <w:tr w:rsidR="00FD6E1D" w:rsidRPr="003E0610" w:rsidTr="00991511">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605013">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177C10" w:rsidRPr="00380BCD" w:rsidRDefault="00177C10" w:rsidP="00177C10">
            <w:pPr>
              <w:autoSpaceDE w:val="0"/>
              <w:autoSpaceDN w:val="0"/>
              <w:adjustRightInd w:val="0"/>
              <w:spacing w:line="276" w:lineRule="auto"/>
              <w:jc w:val="both"/>
              <w:rPr>
                <w:rFonts w:ascii="Book Antiqua" w:eastAsia="Calibri" w:hAnsi="Book Antiqua"/>
                <w:sz w:val="22"/>
                <w:szCs w:val="22"/>
              </w:rPr>
            </w:pPr>
            <w:r w:rsidRPr="00380BCD">
              <w:rPr>
                <w:rFonts w:ascii="Book Antiqua" w:eastAsia="Calibri" w:hAnsi="Book Antiqua"/>
                <w:sz w:val="22"/>
                <w:szCs w:val="22"/>
              </w:rPr>
              <w:t xml:space="preserve">I have gone through the facts of case and considered the verbal submissions of the Representative in light of the relevant provisions of the law and state that the Respondents have acknowledged non-compliance of regulation 6 &amp; 27 of the </w:t>
            </w:r>
            <w:r w:rsidRPr="00380BCD">
              <w:rPr>
                <w:rFonts w:ascii="Book Antiqua" w:eastAsia="Calibri" w:hAnsi="Book Antiqua"/>
                <w:sz w:val="22"/>
                <w:szCs w:val="22"/>
              </w:rPr>
              <w:lastRenderedPageBreak/>
              <w:t xml:space="preserve">Regulations and, therefore, are liable for penalty under regulation 37 of the Regulations </w:t>
            </w:r>
            <w:r>
              <w:rPr>
                <w:rFonts w:ascii="Book Antiqua" w:eastAsia="Calibri" w:hAnsi="Book Antiqua"/>
                <w:sz w:val="22"/>
                <w:szCs w:val="22"/>
              </w:rPr>
              <w:t xml:space="preserve">read with </w:t>
            </w:r>
            <w:r w:rsidRPr="00380BCD">
              <w:rPr>
                <w:rFonts w:ascii="Book Antiqua" w:eastAsia="Calibri" w:hAnsi="Book Antiqua"/>
                <w:sz w:val="22"/>
                <w:szCs w:val="22"/>
              </w:rPr>
              <w:t>Section 512 of the Act.</w:t>
            </w:r>
          </w:p>
          <w:p w:rsidR="00177C10" w:rsidRPr="004F31AE" w:rsidRDefault="00177C10" w:rsidP="00177C10">
            <w:pPr>
              <w:pStyle w:val="ListParagraph"/>
              <w:widowControl w:val="0"/>
              <w:autoSpaceDE w:val="0"/>
              <w:autoSpaceDN w:val="0"/>
              <w:adjustRightInd w:val="0"/>
              <w:spacing w:line="276" w:lineRule="auto"/>
              <w:ind w:left="0" w:right="-45"/>
              <w:jc w:val="both"/>
              <w:rPr>
                <w:rFonts w:ascii="Book Antiqua" w:eastAsia="Calibri" w:hAnsi="Book Antiqua"/>
                <w:sz w:val="22"/>
                <w:szCs w:val="22"/>
                <w:highlight w:val="yellow"/>
              </w:rPr>
            </w:pPr>
          </w:p>
          <w:p w:rsidR="00177C10" w:rsidRPr="00380BCD" w:rsidRDefault="00177C10" w:rsidP="00177C10">
            <w:pPr>
              <w:pStyle w:val="ListParagraph"/>
              <w:widowControl w:val="0"/>
              <w:autoSpaceDE w:val="0"/>
              <w:autoSpaceDN w:val="0"/>
              <w:adjustRightInd w:val="0"/>
              <w:spacing w:line="276" w:lineRule="auto"/>
              <w:ind w:left="0" w:right="-45"/>
              <w:jc w:val="both"/>
              <w:rPr>
                <w:rFonts w:ascii="Book Antiqua" w:hAnsi="Book Antiqua"/>
                <w:sz w:val="22"/>
                <w:szCs w:val="22"/>
              </w:rPr>
            </w:pPr>
            <w:bookmarkStart w:id="0" w:name="_Hlk109382103"/>
            <w:r w:rsidRPr="00380BCD">
              <w:rPr>
                <w:rFonts w:ascii="Book Antiqua" w:hAnsi="Book Antiqua"/>
                <w:sz w:val="22"/>
                <w:szCs w:val="22"/>
              </w:rPr>
              <w:t>Keeping in view the above,</w:t>
            </w:r>
            <w:r w:rsidRPr="00380BCD">
              <w:rPr>
                <w:rFonts w:ascii="Book Antiqua" w:hAnsi="Book Antiqua"/>
                <w:color w:val="000000" w:themeColor="text1"/>
                <w:sz w:val="22"/>
                <w:szCs w:val="22"/>
              </w:rPr>
              <w:t xml:space="preserve"> I, in exercise of the powers conferred under regulation 37 of the Regulations </w:t>
            </w:r>
            <w:r>
              <w:rPr>
                <w:rFonts w:ascii="Book Antiqua" w:hAnsi="Book Antiqua"/>
                <w:color w:val="000000" w:themeColor="text1"/>
                <w:sz w:val="22"/>
                <w:szCs w:val="22"/>
              </w:rPr>
              <w:t xml:space="preserve">read with </w:t>
            </w:r>
            <w:r w:rsidRPr="00380BCD">
              <w:rPr>
                <w:rFonts w:ascii="Book Antiqua" w:hAnsi="Book Antiqua"/>
                <w:color w:val="000000" w:themeColor="text1"/>
                <w:sz w:val="22"/>
                <w:szCs w:val="22"/>
              </w:rPr>
              <w:t xml:space="preserve">Section 512 of the Act, hereby </w:t>
            </w:r>
            <w:r w:rsidRPr="00380BCD">
              <w:rPr>
                <w:rFonts w:ascii="Book Antiqua" w:eastAsia="Calibri" w:hAnsi="Book Antiqua"/>
                <w:color w:val="000000" w:themeColor="text1"/>
                <w:sz w:val="22"/>
                <w:szCs w:val="22"/>
              </w:rPr>
              <w:t xml:space="preserve">impose  penalty of </w:t>
            </w:r>
            <w:r w:rsidRPr="00380BCD">
              <w:rPr>
                <w:rFonts w:ascii="Book Antiqua" w:eastAsia="Calibri" w:hAnsi="Book Antiqua"/>
                <w:b/>
                <w:color w:val="000000" w:themeColor="text1"/>
                <w:sz w:val="22"/>
                <w:szCs w:val="22"/>
              </w:rPr>
              <w:t xml:space="preserve">Rs. </w:t>
            </w:r>
            <w:r>
              <w:rPr>
                <w:rFonts w:ascii="Book Antiqua" w:eastAsia="Calibri" w:hAnsi="Book Antiqua"/>
                <w:b/>
                <w:color w:val="000000" w:themeColor="text1"/>
                <w:sz w:val="22"/>
                <w:szCs w:val="22"/>
              </w:rPr>
              <w:t>100,000</w:t>
            </w:r>
            <w:r w:rsidRPr="00380BCD">
              <w:rPr>
                <w:rFonts w:ascii="Book Antiqua" w:eastAsia="Calibri" w:hAnsi="Book Antiqua"/>
                <w:b/>
                <w:color w:val="000000" w:themeColor="text1"/>
                <w:sz w:val="22"/>
                <w:szCs w:val="22"/>
              </w:rPr>
              <w:t xml:space="preserve">/- (Rupees </w:t>
            </w:r>
            <w:r>
              <w:rPr>
                <w:rFonts w:ascii="Book Antiqua" w:eastAsia="Calibri" w:hAnsi="Book Antiqua"/>
                <w:b/>
                <w:color w:val="000000" w:themeColor="text1"/>
                <w:sz w:val="22"/>
                <w:szCs w:val="22"/>
              </w:rPr>
              <w:t>One Hundred Thousand</w:t>
            </w:r>
            <w:r w:rsidRPr="00380BCD">
              <w:rPr>
                <w:rFonts w:ascii="Book Antiqua" w:eastAsia="Calibri" w:hAnsi="Book Antiqua"/>
                <w:b/>
                <w:color w:val="000000" w:themeColor="text1"/>
                <w:sz w:val="22"/>
                <w:szCs w:val="22"/>
              </w:rPr>
              <w:t xml:space="preserve"> only</w:t>
            </w:r>
            <w:r w:rsidRPr="00380BCD">
              <w:rPr>
                <w:rFonts w:ascii="Book Antiqua" w:eastAsia="Calibri" w:hAnsi="Book Antiqua"/>
                <w:color w:val="000000" w:themeColor="text1"/>
                <w:sz w:val="22"/>
                <w:szCs w:val="22"/>
              </w:rPr>
              <w:t xml:space="preserve">) on the </w:t>
            </w:r>
            <w:r>
              <w:rPr>
                <w:rFonts w:ascii="Book Antiqua" w:eastAsia="Calibri" w:hAnsi="Book Antiqua"/>
                <w:color w:val="000000" w:themeColor="text1"/>
                <w:sz w:val="22"/>
                <w:szCs w:val="22"/>
              </w:rPr>
              <w:t xml:space="preserve">Company and </w:t>
            </w:r>
            <w:r>
              <w:rPr>
                <w:rFonts w:ascii="Book Antiqua" w:hAnsi="Book Antiqua"/>
                <w:sz w:val="22"/>
                <w:szCs w:val="22"/>
              </w:rPr>
              <w:t>warn all the remaining Respondents to ensure compliance with the relevant provision of the law in future, in letter and spirit</w:t>
            </w:r>
            <w:r w:rsidRPr="00380BCD">
              <w:rPr>
                <w:rFonts w:ascii="Book Antiqua" w:hAnsi="Book Antiqua"/>
                <w:color w:val="000000" w:themeColor="text1"/>
                <w:sz w:val="22"/>
                <w:szCs w:val="22"/>
              </w:rPr>
              <w:t>.</w:t>
            </w:r>
            <w:r w:rsidRPr="00380BCD">
              <w:rPr>
                <w:rFonts w:ascii="Book Antiqua" w:hAnsi="Book Antiqua"/>
                <w:sz w:val="22"/>
                <w:szCs w:val="22"/>
              </w:rPr>
              <w:t xml:space="preserve"> </w:t>
            </w:r>
            <w:bookmarkEnd w:id="0"/>
          </w:p>
          <w:p w:rsidR="00177C10" w:rsidRPr="00380BCD" w:rsidRDefault="00177C10" w:rsidP="00177C10">
            <w:pPr>
              <w:spacing w:line="276" w:lineRule="auto"/>
              <w:jc w:val="both"/>
              <w:rPr>
                <w:rFonts w:ascii="Book Antiqua" w:hAnsi="Book Antiqua"/>
                <w:sz w:val="22"/>
                <w:szCs w:val="22"/>
              </w:rPr>
            </w:pPr>
          </w:p>
          <w:p w:rsidR="00177C10" w:rsidRPr="00380BCD" w:rsidRDefault="00177C10" w:rsidP="00177C10">
            <w:pPr>
              <w:spacing w:line="276" w:lineRule="auto"/>
              <w:jc w:val="both"/>
              <w:rPr>
                <w:rFonts w:ascii="Book Antiqua" w:hAnsi="Book Antiqua"/>
                <w:sz w:val="22"/>
                <w:szCs w:val="22"/>
              </w:rPr>
            </w:pPr>
            <w:r w:rsidRPr="00380BCD">
              <w:rPr>
                <w:rFonts w:ascii="Book Antiqua" w:hAnsi="Book Antiqua"/>
                <w:sz w:val="22"/>
                <w:szCs w:val="22"/>
              </w:rPr>
              <w:t>Nothing in this Order may be deemed to prejudice the operation of any provision of the Act providing for imposition of penalties in respect of any default, omission or violation of the Act.</w:t>
            </w:r>
          </w:p>
          <w:p w:rsidR="00213C34" w:rsidRPr="003E0610" w:rsidRDefault="00213C34" w:rsidP="005D1DD2">
            <w:pPr>
              <w:jc w:val="both"/>
              <w:rPr>
                <w:rFonts w:ascii="Book Antiqua" w:hAnsi="Book Antiqua" w:cs="Times New Roman"/>
                <w:sz w:val="22"/>
                <w:szCs w:val="22"/>
              </w:rPr>
            </w:pP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lastRenderedPageBreak/>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177C10" w:rsidP="00F604C5">
            <w:pPr>
              <w:rPr>
                <w:rFonts w:ascii="Book Antiqua" w:hAnsi="Book Antiqua" w:cs="Times New Roman"/>
                <w:sz w:val="22"/>
                <w:szCs w:val="22"/>
              </w:rPr>
            </w:pPr>
            <w:r w:rsidRPr="00380BCD">
              <w:rPr>
                <w:rFonts w:ascii="Book Antiqua" w:eastAsia="Calibri" w:hAnsi="Book Antiqua"/>
                <w:b/>
                <w:color w:val="000000" w:themeColor="text1"/>
                <w:sz w:val="22"/>
                <w:szCs w:val="22"/>
              </w:rPr>
              <w:t xml:space="preserve">Rs. </w:t>
            </w:r>
            <w:r>
              <w:rPr>
                <w:rFonts w:ascii="Book Antiqua" w:eastAsia="Calibri" w:hAnsi="Book Antiqua"/>
                <w:b/>
                <w:color w:val="000000" w:themeColor="text1"/>
                <w:sz w:val="22"/>
                <w:szCs w:val="22"/>
              </w:rPr>
              <w:t>100,000</w:t>
            </w:r>
            <w:r w:rsidRPr="00380BCD">
              <w:rPr>
                <w:rFonts w:ascii="Book Antiqua" w:eastAsia="Calibri" w:hAnsi="Book Antiqua"/>
                <w:b/>
                <w:color w:val="000000" w:themeColor="text1"/>
                <w:sz w:val="22"/>
                <w:szCs w:val="22"/>
              </w:rPr>
              <w:t xml:space="preserve">/- (Rupees </w:t>
            </w:r>
            <w:r>
              <w:rPr>
                <w:rFonts w:ascii="Book Antiqua" w:eastAsia="Calibri" w:hAnsi="Book Antiqua"/>
                <w:b/>
                <w:color w:val="000000" w:themeColor="text1"/>
                <w:sz w:val="22"/>
                <w:szCs w:val="22"/>
              </w:rPr>
              <w:t>One Hundred Thousand</w:t>
            </w:r>
            <w:r w:rsidRPr="00380BCD">
              <w:rPr>
                <w:rFonts w:ascii="Book Antiqua" w:eastAsia="Calibri" w:hAnsi="Book Antiqua"/>
                <w:b/>
                <w:color w:val="000000" w:themeColor="text1"/>
                <w:sz w:val="22"/>
                <w:szCs w:val="22"/>
              </w:rPr>
              <w:t xml:space="preserve"> only</w:t>
            </w:r>
            <w:r w:rsidRPr="00380BCD">
              <w:rPr>
                <w:rFonts w:ascii="Book Antiqua" w:eastAsia="Calibri" w:hAnsi="Book Antiqua"/>
                <w:color w:val="000000" w:themeColor="text1"/>
                <w:sz w:val="22"/>
                <w:szCs w:val="22"/>
              </w:rPr>
              <w:t>)</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A23A97" w:rsidP="00FD6E1D">
            <w:pPr>
              <w:jc w:val="both"/>
              <w:rPr>
                <w:rFonts w:ascii="Book Antiqua" w:hAnsi="Book Antiqua" w:cs="Times New Roman"/>
                <w:sz w:val="22"/>
                <w:szCs w:val="22"/>
              </w:rPr>
            </w:pPr>
            <w:r w:rsidRPr="00F604C5">
              <w:rPr>
                <w:rFonts w:ascii="Book Antiqua" w:hAnsi="Book Antiqua" w:cs="Times New Roman"/>
                <w:sz w:val="22"/>
                <w:szCs w:val="22"/>
              </w:rPr>
              <w:t xml:space="preserve">No Appeal filed </w:t>
            </w:r>
            <w:r>
              <w:rPr>
                <w:rFonts w:ascii="Book Antiqua" w:hAnsi="Book Antiqua" w:cs="Times New Roman"/>
                <w:sz w:val="22"/>
                <w:szCs w:val="22"/>
              </w:rPr>
              <w:t xml:space="preserve">and the imposed penalty </w:t>
            </w:r>
            <w:r w:rsidRPr="00F604C5">
              <w:rPr>
                <w:rFonts w:ascii="Book Antiqua" w:hAnsi="Book Antiqua" w:cs="Times New Roman"/>
                <w:sz w:val="22"/>
                <w:szCs w:val="22"/>
              </w:rPr>
              <w:t xml:space="preserve">has been </w:t>
            </w:r>
            <w:r>
              <w:rPr>
                <w:rFonts w:ascii="Book Antiqua" w:hAnsi="Book Antiqua" w:cs="Times New Roman"/>
                <w:sz w:val="22"/>
                <w:szCs w:val="22"/>
              </w:rPr>
              <w:t xml:space="preserve">deposited </w:t>
            </w:r>
            <w:r w:rsidRPr="00F604C5">
              <w:rPr>
                <w:rFonts w:ascii="Book Antiqua" w:hAnsi="Book Antiqua" w:cs="Times New Roman"/>
                <w:sz w:val="22"/>
                <w:szCs w:val="22"/>
              </w:rPr>
              <w:t>by the respondents</w:t>
            </w:r>
            <w:bookmarkStart w:id="1" w:name="_GoBack"/>
            <w:bookmarkEnd w:id="1"/>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083" w:rsidRDefault="005C5083" w:rsidP="007F33F3">
      <w:r>
        <w:separator/>
      </w:r>
    </w:p>
  </w:endnote>
  <w:endnote w:type="continuationSeparator" w:id="0">
    <w:p w:rsidR="005C5083" w:rsidRDefault="005C5083"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083" w:rsidRDefault="005C5083" w:rsidP="007F33F3">
      <w:r>
        <w:separator/>
      </w:r>
    </w:p>
  </w:footnote>
  <w:footnote w:type="continuationSeparator" w:id="0">
    <w:p w:rsidR="005C5083" w:rsidRDefault="005C5083"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0"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5"/>
  </w:num>
  <w:num w:numId="14">
    <w:abstractNumId w:val="5"/>
  </w:num>
  <w:num w:numId="15">
    <w:abstractNumId w:val="13"/>
  </w:num>
  <w:num w:numId="16">
    <w:abstractNumId w:val="6"/>
  </w:num>
  <w:num w:numId="17">
    <w:abstractNumId w:val="1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74EA7"/>
    <w:rsid w:val="000A7E2E"/>
    <w:rsid w:val="000B0DAF"/>
    <w:rsid w:val="000C1646"/>
    <w:rsid w:val="000E0E3A"/>
    <w:rsid w:val="000E36EA"/>
    <w:rsid w:val="001127B2"/>
    <w:rsid w:val="0011373B"/>
    <w:rsid w:val="00130711"/>
    <w:rsid w:val="00140BDC"/>
    <w:rsid w:val="001459DF"/>
    <w:rsid w:val="00147622"/>
    <w:rsid w:val="00161A12"/>
    <w:rsid w:val="00161ABE"/>
    <w:rsid w:val="00162ACC"/>
    <w:rsid w:val="00177B50"/>
    <w:rsid w:val="00177C10"/>
    <w:rsid w:val="00192BA5"/>
    <w:rsid w:val="001D1377"/>
    <w:rsid w:val="001D2C85"/>
    <w:rsid w:val="001E131E"/>
    <w:rsid w:val="001E1A18"/>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3E0610"/>
    <w:rsid w:val="00406E53"/>
    <w:rsid w:val="00453B91"/>
    <w:rsid w:val="00454F25"/>
    <w:rsid w:val="004A4F88"/>
    <w:rsid w:val="004B5911"/>
    <w:rsid w:val="004C3976"/>
    <w:rsid w:val="00514F9F"/>
    <w:rsid w:val="00520FB0"/>
    <w:rsid w:val="00541FC8"/>
    <w:rsid w:val="005448BC"/>
    <w:rsid w:val="00573416"/>
    <w:rsid w:val="005C5083"/>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A5A94"/>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7602"/>
    <w:rsid w:val="00A179C1"/>
    <w:rsid w:val="00A23A97"/>
    <w:rsid w:val="00A31B95"/>
    <w:rsid w:val="00A5456F"/>
    <w:rsid w:val="00AA2072"/>
    <w:rsid w:val="00AB16A5"/>
    <w:rsid w:val="00AE5064"/>
    <w:rsid w:val="00B324FA"/>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34AA"/>
    <w:rsid w:val="00D247C7"/>
    <w:rsid w:val="00D25CA1"/>
    <w:rsid w:val="00D5538B"/>
    <w:rsid w:val="00D57CBB"/>
    <w:rsid w:val="00D63A7C"/>
    <w:rsid w:val="00D831E7"/>
    <w:rsid w:val="00DD56E1"/>
    <w:rsid w:val="00E334C5"/>
    <w:rsid w:val="00E9534D"/>
    <w:rsid w:val="00EA577D"/>
    <w:rsid w:val="00EB792F"/>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2E87B114"/>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2022-10-18T10:51:00Z</dcterms:created>
  <dcterms:modified xsi:type="dcterms:W3CDTF">2022-10-18T10:51:00Z</dcterms:modified>
</cp:coreProperties>
</file>