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jc w:val="center"/>
        <w:rPr>
          <w:sz w:val="28"/>
          <w:szCs w:val="28"/>
        </w:rPr>
      </w:pPr>
    </w:p>
    <w:p>
      <w:pPr>
        <w:spacing w:line="276" w:lineRule="auto"/>
        <w:rPr>
          <w:sz w:val="28"/>
          <w:szCs w:val="28"/>
        </w:rPr>
      </w:pPr>
    </w:p>
    <w:p>
      <w:pPr>
        <w:spacing w:line="276" w:lineRule="auto"/>
        <w:jc w:val="center"/>
        <w:rPr>
          <w:sz w:val="28"/>
          <w:szCs w:val="28"/>
        </w:rPr>
      </w:pPr>
    </w:p>
    <w:p>
      <w:pPr>
        <w:spacing w:line="276" w:lineRule="auto"/>
        <w:jc w:val="center"/>
        <w:rPr>
          <w:sz w:val="28"/>
          <w:szCs w:val="28"/>
        </w:rPr>
      </w:pPr>
    </w:p>
    <w:p>
      <w:pPr>
        <w:spacing w:line="276" w:lineRule="auto"/>
        <w:jc w:val="center"/>
        <w:rPr>
          <w:sz w:val="36"/>
        </w:rPr>
      </w:pPr>
      <w:r>
        <w:rPr>
          <w:sz w:val="28"/>
        </w:rPr>
        <w:t>Consultation Paper</w:t>
      </w:r>
    </w:p>
    <w:p>
      <w:pPr>
        <w:spacing w:line="276" w:lineRule="auto"/>
        <w:jc w:val="center"/>
        <w:rPr>
          <w:sz w:val="28"/>
          <w:szCs w:val="28"/>
        </w:rPr>
      </w:pPr>
    </w:p>
    <w:p>
      <w:pPr>
        <w:spacing w:line="276" w:lineRule="auto"/>
        <w:jc w:val="center"/>
        <w:rPr>
          <w:sz w:val="28"/>
          <w:szCs w:val="28"/>
        </w:rPr>
      </w:pPr>
      <w:r>
        <w:rPr>
          <w:sz w:val="28"/>
          <w:szCs w:val="28"/>
        </w:rPr>
        <w:t>on</w:t>
      </w:r>
    </w:p>
    <w:p>
      <w:pPr>
        <w:spacing w:line="276" w:lineRule="auto"/>
        <w:jc w:val="center"/>
        <w:rPr>
          <w:b/>
          <w:sz w:val="28"/>
          <w:szCs w:val="28"/>
        </w:rPr>
      </w:pPr>
    </w:p>
    <w:p>
      <w:pPr>
        <w:spacing w:line="276" w:lineRule="auto"/>
        <w:ind w:left="480" w:leftChars="200" w:firstLine="0" w:firstLineChars="0"/>
        <w:jc w:val="center"/>
        <w:rPr>
          <w:b/>
          <w:sz w:val="36"/>
        </w:rPr>
      </w:pPr>
      <w:r>
        <w:rPr>
          <w:b/>
          <w:sz w:val="36"/>
        </w:rPr>
        <w:t>Introduction of Panel of Auditors for SECP Regulated Entities</w:t>
      </w:r>
    </w:p>
    <w:p>
      <w:pPr>
        <w:spacing w:line="276" w:lineRule="auto"/>
        <w:rPr>
          <w:b/>
          <w:sz w:val="28"/>
          <w:szCs w:val="28"/>
          <w:u w:val="single"/>
        </w:rPr>
      </w:pPr>
    </w:p>
    <w:p>
      <w:pPr>
        <w:spacing w:line="276" w:lineRule="auto"/>
        <w:rPr>
          <w:b/>
          <w:sz w:val="28"/>
          <w:szCs w:val="28"/>
          <w:u w:val="single"/>
        </w:rPr>
      </w:pPr>
    </w:p>
    <w:p>
      <w:pPr>
        <w:spacing w:line="276" w:lineRule="auto"/>
        <w:rPr>
          <w:b/>
          <w:sz w:val="28"/>
          <w:szCs w:val="28"/>
        </w:rPr>
      </w:pPr>
    </w:p>
    <w:p>
      <w:pPr>
        <w:spacing w:line="276" w:lineRule="auto"/>
        <w:rPr>
          <w:b/>
          <w:sz w:val="28"/>
          <w:szCs w:val="28"/>
        </w:rPr>
      </w:pPr>
    </w:p>
    <w:p>
      <w:pPr>
        <w:spacing w:line="276" w:lineRule="auto"/>
        <w:rPr>
          <w:b/>
          <w:sz w:val="28"/>
          <w:szCs w:val="28"/>
        </w:rPr>
      </w:pPr>
    </w:p>
    <w:p>
      <w:pPr>
        <w:spacing w:line="276" w:lineRule="auto"/>
        <w:rPr>
          <w:b/>
          <w:sz w:val="28"/>
          <w:szCs w:val="28"/>
        </w:rPr>
      </w:pPr>
    </w:p>
    <w:p>
      <w:pPr>
        <w:spacing w:line="276" w:lineRule="auto"/>
        <w:rPr>
          <w:b/>
          <w:sz w:val="28"/>
          <w:szCs w:val="28"/>
        </w:rPr>
      </w:pPr>
    </w:p>
    <w:p>
      <w:pPr>
        <w:spacing w:line="276" w:lineRule="auto"/>
      </w:pPr>
      <w:r>
        <w:rPr>
          <w:b/>
        </w:rPr>
        <w:t>Date of issuance:</w:t>
      </w:r>
      <w:r>
        <w:t xml:space="preserve"> </w:t>
      </w:r>
    </w:p>
    <w:p>
      <w:pPr>
        <w:spacing w:line="276" w:lineRule="auto"/>
      </w:pPr>
      <w:r>
        <w:rPr>
          <w:rFonts w:hint="default"/>
          <w:lang w:val="en-US"/>
        </w:rPr>
        <w:t>December 02</w:t>
      </w:r>
      <w:r>
        <w:t>, 2022</w:t>
      </w:r>
    </w:p>
    <w:p>
      <w:pPr>
        <w:spacing w:line="276" w:lineRule="auto"/>
      </w:pPr>
    </w:p>
    <w:p>
      <w:pPr>
        <w:spacing w:line="276" w:lineRule="auto"/>
      </w:pPr>
      <w:r>
        <w:rPr>
          <w:b/>
        </w:rPr>
        <w:t>Last date for submission of feedback:</w:t>
      </w:r>
      <w:r>
        <w:t xml:space="preserve"> </w:t>
      </w:r>
    </w:p>
    <w:p>
      <w:pPr>
        <w:spacing w:line="276" w:lineRule="auto"/>
        <w:rPr>
          <w:rFonts w:hint="default"/>
          <w:lang w:val="en-US"/>
        </w:rPr>
      </w:pPr>
      <w:r>
        <w:rPr>
          <w:rFonts w:hint="default"/>
          <w:lang w:val="en-US"/>
        </w:rPr>
        <w:t>December 16, 2022</w:t>
      </w:r>
    </w:p>
    <w:p>
      <w:pPr>
        <w:spacing w:line="276" w:lineRule="auto"/>
      </w:pPr>
    </w:p>
    <w:p>
      <w:pPr>
        <w:spacing w:line="276" w:lineRule="auto"/>
      </w:pPr>
      <w:r>
        <w:rPr>
          <w:b/>
        </w:rPr>
        <w:t>Email address for submission of feedback:</w:t>
      </w:r>
      <w:r>
        <w:t xml:space="preserve"> </w:t>
      </w:r>
    </w:p>
    <w:p>
      <w:pPr>
        <w:spacing w:line="276" w:lineRule="auto"/>
        <w:rPr>
          <w:rFonts w:hint="default"/>
          <w:lang w:val="en-US"/>
        </w:rPr>
      </w:pPr>
      <w:r>
        <w:rPr>
          <w:rFonts w:hint="default"/>
          <w:lang w:val="en-US"/>
        </w:rPr>
        <w:fldChar w:fldCharType="begin"/>
      </w:r>
      <w:r>
        <w:rPr>
          <w:rFonts w:hint="default"/>
          <w:lang w:val="en-US"/>
        </w:rPr>
        <w:instrText xml:space="preserve"> HYPERLINK "mailto:irfan.shaikh@secp.gov.pk;" </w:instrText>
      </w:r>
      <w:r>
        <w:rPr>
          <w:rFonts w:hint="default"/>
          <w:lang w:val="en-US"/>
        </w:rPr>
        <w:fldChar w:fldCharType="separate"/>
      </w:r>
      <w:r>
        <w:rPr>
          <w:rStyle w:val="21"/>
          <w:rFonts w:hint="default"/>
          <w:lang w:val="en-US"/>
        </w:rPr>
        <w:t>irfan.shaikh@secp.gov.pk;</w:t>
      </w:r>
      <w:r>
        <w:rPr>
          <w:rFonts w:hint="default"/>
          <w:lang w:val="en-US"/>
        </w:rPr>
        <w:fldChar w:fldCharType="end"/>
      </w:r>
    </w:p>
    <w:p>
      <w:pPr>
        <w:spacing w:line="276" w:lineRule="auto"/>
        <w:rPr>
          <w:rFonts w:hint="default"/>
          <w:lang w:val="en-US"/>
        </w:rPr>
      </w:pPr>
      <w:r>
        <w:rPr>
          <w:rFonts w:hint="default"/>
          <w:lang w:val="en-US"/>
        </w:rPr>
        <w:fldChar w:fldCharType="begin"/>
      </w:r>
      <w:r>
        <w:rPr>
          <w:rFonts w:hint="default"/>
          <w:lang w:val="en-US"/>
        </w:rPr>
        <w:instrText xml:space="preserve"> HYPERLINK "mailto:oneeb.ahmed@secp.gov.pk" </w:instrText>
      </w:r>
      <w:r>
        <w:rPr>
          <w:rFonts w:hint="default"/>
          <w:lang w:val="en-US"/>
        </w:rPr>
        <w:fldChar w:fldCharType="separate"/>
      </w:r>
      <w:r>
        <w:rPr>
          <w:rStyle w:val="21"/>
          <w:rFonts w:hint="default"/>
          <w:lang w:val="en-US"/>
        </w:rPr>
        <w:t>oneeb.ahmed@secp.gov.pk</w:t>
      </w:r>
      <w:r>
        <w:rPr>
          <w:rFonts w:hint="default"/>
          <w:lang w:val="en-US"/>
        </w:rPr>
        <w:fldChar w:fldCharType="end"/>
      </w:r>
    </w:p>
    <w:p>
      <w:pPr>
        <w:spacing w:line="276" w:lineRule="auto"/>
      </w:pPr>
    </w:p>
    <w:p>
      <w:pPr>
        <w:spacing w:line="276" w:lineRule="auto"/>
        <w:rPr>
          <w:b/>
        </w:rPr>
      </w:pPr>
      <w:r>
        <w:rPr>
          <w:b/>
        </w:rPr>
        <w:t xml:space="preserve">Postal address for submission of feedback: </w:t>
      </w:r>
      <w:r>
        <w:rPr>
          <w:b/>
        </w:rPr>
        <w:tab/>
      </w:r>
    </w:p>
    <w:p>
      <w:pPr>
        <w:spacing w:line="276" w:lineRule="auto"/>
        <w:rPr>
          <w:rFonts w:hint="default"/>
          <w:lang w:val="en-US"/>
        </w:rPr>
      </w:pPr>
      <w:r>
        <w:rPr>
          <w:rFonts w:hint="default"/>
          <w:lang w:val="en-US"/>
        </w:rPr>
        <w:t>Securities Market Division,</w:t>
      </w:r>
    </w:p>
    <w:p>
      <w:pPr>
        <w:spacing w:line="276" w:lineRule="auto"/>
      </w:pPr>
      <w:r>
        <w:t>Securities and Exchange Commission of Pakistan</w:t>
      </w:r>
    </w:p>
    <w:p>
      <w:pPr>
        <w:spacing w:line="276" w:lineRule="auto"/>
      </w:pPr>
      <w:r>
        <w:t>NIC Building, 63 Jinnah Avenue</w:t>
      </w:r>
    </w:p>
    <w:p>
      <w:pPr>
        <w:spacing w:line="276" w:lineRule="auto"/>
      </w:pPr>
      <w:r>
        <w:t xml:space="preserve">Blue Area, Islamabad-44000 </w:t>
      </w:r>
    </w:p>
    <w:p>
      <w:pPr>
        <w:spacing w:line="276" w:lineRule="auto"/>
        <w:rPr>
          <w:b/>
          <w:sz w:val="28"/>
          <w:szCs w:val="28"/>
          <w:u w:val="single"/>
        </w:rPr>
      </w:pPr>
    </w:p>
    <w:p>
      <w:pPr>
        <w:spacing w:line="276" w:lineRule="auto"/>
        <w:rPr>
          <w:b/>
          <w:u w:val="single"/>
        </w:rPr>
      </w:pPr>
    </w:p>
    <w:p>
      <w:pPr>
        <w:spacing w:line="276" w:lineRule="auto"/>
        <w:rPr>
          <w:b/>
          <w:u w:val="single"/>
        </w:rPr>
      </w:pPr>
      <w:r>
        <w:rPr>
          <w:b/>
          <w:u w:val="single"/>
        </w:rPr>
        <w:br w:type="page"/>
      </w:r>
    </w:p>
    <w:p>
      <w:pPr>
        <w:numPr>
          <w:ilvl w:val="0"/>
          <w:numId w:val="1"/>
        </w:numPr>
        <w:spacing w:after="120" w:line="276" w:lineRule="auto"/>
        <w:ind w:right="-158" w:hanging="4"/>
        <w:rPr>
          <w:b/>
          <w:sz w:val="26"/>
        </w:rPr>
      </w:pPr>
      <w:r>
        <w:rPr>
          <w:b/>
          <w:sz w:val="26"/>
        </w:rPr>
        <w:t>Existing Practices</w:t>
      </w:r>
    </w:p>
    <w:p>
      <w:pPr>
        <w:pStyle w:val="42"/>
        <w:tabs>
          <w:tab w:val="left" w:pos="630"/>
          <w:tab w:val="left" w:pos="900"/>
          <w:tab w:val="left" w:pos="9180"/>
        </w:tabs>
        <w:spacing w:after="0"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The Commission, under the Securities and Exchange Commission of Pakistan Act, 1997 read with its administered regulations is empowered to maintain and issue a panel of auditors from which SECP regulated entities may appoint auditors. </w:t>
      </w:r>
    </w:p>
    <w:p>
      <w:pPr>
        <w:pStyle w:val="42"/>
        <w:tabs>
          <w:tab w:val="left" w:pos="630"/>
          <w:tab w:val="left" w:pos="900"/>
          <w:tab w:val="left" w:pos="9180"/>
        </w:tabs>
        <w:spacing w:after="0" w:line="276" w:lineRule="auto"/>
        <w:jc w:val="both"/>
        <w:rPr>
          <w:rFonts w:ascii="Times New Roman" w:hAnsi="Times New Roman" w:cs="Times New Roman"/>
          <w:sz w:val="22"/>
          <w:szCs w:val="22"/>
          <w:lang w:val="en-US"/>
        </w:rPr>
      </w:pPr>
    </w:p>
    <w:p>
      <w:pPr>
        <w:pStyle w:val="42"/>
        <w:tabs>
          <w:tab w:val="left" w:pos="630"/>
          <w:tab w:val="left" w:pos="900"/>
          <w:tab w:val="left" w:pos="9180"/>
        </w:tabs>
        <w:spacing w:after="0"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 xml:space="preserve">Currently, for insurance and modaraba sector, panel of auditors/ list of auditors has been specified by the Commission through Circulars/Letter. In this regard, Circular no. 21 of 2021 provides the approved list of auditors eligible to conduct audit of insurance/ re-insurance/takaful entities. Further, various circulars and updates resting with Circular No. 21 of 2005 dated November 18, 2005 and Circular No. 28 of 2009 dated September 4, 2009 were issued for approved list of auditors for modaraba companies. Furthermore, under the Securities Brokers (Licensing and Operations) Regulations, 2016, various categories of securities broker shall appoint statutory auditor from specific categories on the SBP panel of auditors as prescribed therein. </w:t>
      </w:r>
    </w:p>
    <w:p>
      <w:pPr>
        <w:pStyle w:val="42"/>
        <w:tabs>
          <w:tab w:val="left" w:pos="630"/>
          <w:tab w:val="left" w:pos="900"/>
          <w:tab w:val="left" w:pos="9180"/>
        </w:tabs>
        <w:spacing w:after="0" w:line="276" w:lineRule="auto"/>
        <w:jc w:val="both"/>
        <w:rPr>
          <w:rFonts w:ascii="Times New Roman" w:hAnsi="Times New Roman" w:cs="Times New Roman"/>
          <w:sz w:val="22"/>
          <w:szCs w:val="22"/>
          <w:lang w:val="en-US"/>
        </w:rPr>
      </w:pPr>
    </w:p>
    <w:p>
      <w:pPr>
        <w:numPr>
          <w:ilvl w:val="0"/>
          <w:numId w:val="1"/>
        </w:numPr>
        <w:spacing w:after="120" w:line="276" w:lineRule="auto"/>
        <w:ind w:right="-158" w:hanging="4"/>
        <w:rPr>
          <w:b/>
          <w:sz w:val="26"/>
        </w:rPr>
      </w:pPr>
      <w:r>
        <w:rPr>
          <w:b/>
          <w:sz w:val="26"/>
        </w:rPr>
        <w:t>Proposal</w:t>
      </w:r>
    </w:p>
    <w:p>
      <w:pPr>
        <w:pStyle w:val="42"/>
        <w:tabs>
          <w:tab w:val="left" w:pos="630"/>
          <w:tab w:val="left" w:pos="900"/>
          <w:tab w:val="left" w:pos="9180"/>
        </w:tabs>
        <w:spacing w:after="0"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The aforementioned practice of issuing/specifying separate panels or lists for various SECP regulated sectors may be streamlined by prescribing a single Panel of Auditors for SECP regulated entities, which will follow a risk based approach. Accordingly, entities with higher degree of risk shall be required to appoint their auditors from suitable category. Entities with low risk may appoint any auditor which has a QCR rating from ICAP.</w:t>
      </w:r>
    </w:p>
    <w:p>
      <w:pPr>
        <w:pStyle w:val="42"/>
        <w:tabs>
          <w:tab w:val="left" w:pos="630"/>
          <w:tab w:val="left" w:pos="900"/>
          <w:tab w:val="left" w:pos="9180"/>
        </w:tabs>
        <w:spacing w:after="0"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Below is a comparison of current practice of selecting audit firm under applicable regulatory framework along with proposed categories of audit firms under a new SECP panel. Further, the proposed panel shall be applicable on below-mentioned SECP regulated entities for appointing audit firm:</w:t>
      </w:r>
    </w:p>
    <w:tbl>
      <w:tblPr>
        <w:tblStyle w:val="23"/>
        <w:tblW w:w="9267" w:type="dxa"/>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0"/>
        <w:gridCol w:w="3088"/>
        <w:gridCol w:w="3329"/>
        <w:gridCol w:w="2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spacing w:after="120" w:line="276" w:lineRule="auto"/>
              <w:ind w:right="-158"/>
              <w:rPr>
                <w:b/>
                <w:sz w:val="26"/>
              </w:rPr>
            </w:pPr>
          </w:p>
        </w:tc>
        <w:tc>
          <w:tcPr>
            <w:tcW w:w="3088" w:type="dxa"/>
            <w:vAlign w:val="center"/>
          </w:tcPr>
          <w:p>
            <w:pPr>
              <w:spacing w:after="120" w:line="276" w:lineRule="auto"/>
              <w:ind w:right="-158"/>
              <w:jc w:val="center"/>
              <w:rPr>
                <w:b/>
                <w:sz w:val="22"/>
                <w:szCs w:val="22"/>
              </w:rPr>
            </w:pPr>
            <w:r>
              <w:rPr>
                <w:b/>
                <w:sz w:val="22"/>
                <w:szCs w:val="22"/>
              </w:rPr>
              <w:t>Category of SECP Regulated Entity</w:t>
            </w:r>
          </w:p>
        </w:tc>
        <w:tc>
          <w:tcPr>
            <w:tcW w:w="3329" w:type="dxa"/>
            <w:vAlign w:val="center"/>
          </w:tcPr>
          <w:p>
            <w:pPr>
              <w:spacing w:after="120" w:line="276" w:lineRule="auto"/>
              <w:ind w:right="-158"/>
              <w:jc w:val="center"/>
              <w:rPr>
                <w:b/>
                <w:sz w:val="22"/>
                <w:szCs w:val="22"/>
              </w:rPr>
            </w:pPr>
            <w:r>
              <w:rPr>
                <w:b/>
                <w:sz w:val="22"/>
                <w:szCs w:val="22"/>
              </w:rPr>
              <w:t>Eligible Audit Firms for conducting audit as per current practice</w:t>
            </w:r>
          </w:p>
        </w:tc>
        <w:tc>
          <w:tcPr>
            <w:tcW w:w="2490" w:type="dxa"/>
            <w:vAlign w:val="center"/>
          </w:tcPr>
          <w:p>
            <w:pPr>
              <w:spacing w:after="120" w:line="276" w:lineRule="auto"/>
              <w:ind w:right="-158"/>
              <w:jc w:val="center"/>
              <w:rPr>
                <w:b/>
                <w:sz w:val="22"/>
                <w:szCs w:val="22"/>
              </w:rPr>
            </w:pPr>
            <w:r>
              <w:rPr>
                <w:b/>
                <w:sz w:val="22"/>
                <w:szCs w:val="22"/>
              </w:rPr>
              <w:t>Proposed audit firms/panel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numPr>
                <w:ilvl w:val="0"/>
                <w:numId w:val="2"/>
              </w:numPr>
              <w:spacing w:after="120" w:line="276" w:lineRule="auto"/>
              <w:ind w:right="-158"/>
              <w:rPr>
                <w:b/>
                <w:sz w:val="26"/>
              </w:rPr>
            </w:pPr>
          </w:p>
        </w:tc>
        <w:tc>
          <w:tcPr>
            <w:tcW w:w="3088" w:type="dxa"/>
          </w:tcPr>
          <w:p>
            <w:pPr>
              <w:jc w:val="both"/>
              <w:rPr>
                <w:sz w:val="22"/>
                <w:szCs w:val="22"/>
              </w:rPr>
            </w:pPr>
            <w:r>
              <w:rPr>
                <w:sz w:val="22"/>
                <w:szCs w:val="22"/>
              </w:rPr>
              <w:t xml:space="preserve">Securities Broker- Trading and Clearing </w:t>
            </w:r>
          </w:p>
        </w:tc>
        <w:tc>
          <w:tcPr>
            <w:tcW w:w="3329" w:type="dxa"/>
          </w:tcPr>
          <w:p>
            <w:pPr>
              <w:jc w:val="both"/>
              <w:rPr>
                <w:sz w:val="22"/>
                <w:szCs w:val="22"/>
              </w:rPr>
            </w:pPr>
            <w:r>
              <w:rPr>
                <w:sz w:val="22"/>
                <w:szCs w:val="22"/>
              </w:rPr>
              <w:t>State Bank of Pakistan (SBP) Category A auditors</w:t>
            </w:r>
          </w:p>
          <w:p>
            <w:pPr>
              <w:jc w:val="both"/>
              <w:rPr>
                <w:sz w:val="22"/>
                <w:szCs w:val="22"/>
              </w:rPr>
            </w:pPr>
          </w:p>
        </w:tc>
        <w:tc>
          <w:tcPr>
            <w:tcW w:w="2490" w:type="dxa"/>
          </w:tcPr>
          <w:p>
            <w:pPr>
              <w:jc w:val="both"/>
              <w:rPr>
                <w:b/>
                <w:sz w:val="26"/>
              </w:rPr>
            </w:pPr>
            <w:r>
              <w:rPr>
                <w:sz w:val="22"/>
                <w:szCs w:val="22"/>
              </w:rPr>
              <w:t>Category A auditor of SECP 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numPr>
                <w:ilvl w:val="0"/>
                <w:numId w:val="2"/>
              </w:numPr>
              <w:spacing w:after="120" w:line="276" w:lineRule="auto"/>
              <w:ind w:right="-158"/>
              <w:rPr>
                <w:b/>
                <w:sz w:val="26"/>
              </w:rPr>
            </w:pPr>
          </w:p>
        </w:tc>
        <w:tc>
          <w:tcPr>
            <w:tcW w:w="3088" w:type="dxa"/>
          </w:tcPr>
          <w:p>
            <w:pPr>
              <w:jc w:val="both"/>
              <w:rPr>
                <w:sz w:val="22"/>
                <w:szCs w:val="22"/>
              </w:rPr>
            </w:pPr>
            <w:r>
              <w:rPr>
                <w:sz w:val="22"/>
                <w:szCs w:val="22"/>
              </w:rPr>
              <w:t xml:space="preserve">Securities Broker- Trading and Self Clearing </w:t>
            </w:r>
          </w:p>
        </w:tc>
        <w:tc>
          <w:tcPr>
            <w:tcW w:w="3329" w:type="dxa"/>
          </w:tcPr>
          <w:p>
            <w:pPr>
              <w:jc w:val="both"/>
              <w:rPr>
                <w:b/>
                <w:sz w:val="26"/>
              </w:rPr>
            </w:pPr>
            <w:r>
              <w:rPr>
                <w:sz w:val="22"/>
                <w:szCs w:val="22"/>
              </w:rPr>
              <w:t>SBP Category A or B auditors</w:t>
            </w:r>
          </w:p>
        </w:tc>
        <w:tc>
          <w:tcPr>
            <w:tcW w:w="2490" w:type="dxa"/>
          </w:tcPr>
          <w:p>
            <w:pPr>
              <w:jc w:val="both"/>
              <w:rPr>
                <w:sz w:val="22"/>
                <w:szCs w:val="22"/>
              </w:rPr>
            </w:pPr>
            <w:r>
              <w:rPr>
                <w:sz w:val="22"/>
                <w:szCs w:val="22"/>
              </w:rPr>
              <w:t>Category A or B auditor of SECP Panel</w:t>
            </w:r>
          </w:p>
          <w:p>
            <w:pPr>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numPr>
                <w:ilvl w:val="0"/>
                <w:numId w:val="2"/>
              </w:numPr>
              <w:spacing w:after="120" w:line="276" w:lineRule="auto"/>
              <w:ind w:right="-158"/>
              <w:rPr>
                <w:b/>
                <w:sz w:val="26"/>
              </w:rPr>
            </w:pPr>
          </w:p>
        </w:tc>
        <w:tc>
          <w:tcPr>
            <w:tcW w:w="3088" w:type="dxa"/>
          </w:tcPr>
          <w:p>
            <w:pPr>
              <w:jc w:val="both"/>
              <w:rPr>
                <w:sz w:val="22"/>
                <w:szCs w:val="22"/>
              </w:rPr>
            </w:pPr>
            <w:r>
              <w:rPr>
                <w:sz w:val="22"/>
                <w:szCs w:val="22"/>
              </w:rPr>
              <w:t xml:space="preserve">Securities Broker- Trading Only </w:t>
            </w:r>
          </w:p>
        </w:tc>
        <w:tc>
          <w:tcPr>
            <w:tcW w:w="3329" w:type="dxa"/>
          </w:tcPr>
          <w:p>
            <w:pPr>
              <w:jc w:val="both"/>
              <w:rPr>
                <w:sz w:val="22"/>
                <w:szCs w:val="22"/>
              </w:rPr>
            </w:pPr>
            <w:r>
              <w:rPr>
                <w:sz w:val="22"/>
                <w:szCs w:val="22"/>
              </w:rPr>
              <w:t>Any satisfactory QCR rated auditor by Institute of Chartered Accountants of Pakistan (ICAP)</w:t>
            </w:r>
          </w:p>
          <w:p>
            <w:pPr>
              <w:jc w:val="both"/>
              <w:rPr>
                <w:sz w:val="22"/>
                <w:szCs w:val="22"/>
              </w:rPr>
            </w:pPr>
          </w:p>
        </w:tc>
        <w:tc>
          <w:tcPr>
            <w:tcW w:w="2490" w:type="dxa"/>
          </w:tcPr>
          <w:p>
            <w:pPr>
              <w:jc w:val="both"/>
              <w:rPr>
                <w:sz w:val="22"/>
                <w:szCs w:val="22"/>
              </w:rPr>
            </w:pPr>
            <w:r>
              <w:rPr>
                <w:sz w:val="22"/>
                <w:szCs w:val="22"/>
              </w:rPr>
              <w:t>Any Satisfactory QCR rated auditor by ICAP</w:t>
            </w:r>
          </w:p>
          <w:p>
            <w:pPr>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numPr>
                <w:ilvl w:val="0"/>
                <w:numId w:val="2"/>
              </w:numPr>
              <w:spacing w:after="120" w:line="276" w:lineRule="auto"/>
              <w:ind w:right="-158"/>
              <w:rPr>
                <w:b/>
                <w:sz w:val="26"/>
              </w:rPr>
            </w:pPr>
          </w:p>
        </w:tc>
        <w:tc>
          <w:tcPr>
            <w:tcW w:w="3088" w:type="dxa"/>
          </w:tcPr>
          <w:p>
            <w:pPr>
              <w:jc w:val="both"/>
              <w:rPr>
                <w:sz w:val="22"/>
                <w:szCs w:val="22"/>
                <w:highlight w:val="none"/>
              </w:rPr>
            </w:pPr>
            <w:r>
              <w:rPr>
                <w:sz w:val="22"/>
                <w:szCs w:val="22"/>
                <w:highlight w:val="none"/>
              </w:rPr>
              <w:t>Futures Brokers</w:t>
            </w:r>
          </w:p>
        </w:tc>
        <w:tc>
          <w:tcPr>
            <w:tcW w:w="3329" w:type="dxa"/>
          </w:tcPr>
          <w:p>
            <w:pPr>
              <w:jc w:val="both"/>
              <w:rPr>
                <w:sz w:val="22"/>
                <w:szCs w:val="22"/>
                <w:highlight w:val="none"/>
              </w:rPr>
            </w:pPr>
            <w:r>
              <w:rPr>
                <w:sz w:val="22"/>
                <w:szCs w:val="22"/>
                <w:highlight w:val="none"/>
              </w:rPr>
              <w:t>Any satisfactory QCR rated auditor by ICAP</w:t>
            </w:r>
          </w:p>
          <w:p>
            <w:pPr>
              <w:jc w:val="both"/>
              <w:rPr>
                <w:sz w:val="22"/>
                <w:szCs w:val="22"/>
                <w:highlight w:val="none"/>
              </w:rPr>
            </w:pPr>
          </w:p>
        </w:tc>
        <w:tc>
          <w:tcPr>
            <w:tcW w:w="2490" w:type="dxa"/>
          </w:tcPr>
          <w:p>
            <w:pPr>
              <w:jc w:val="both"/>
              <w:rPr>
                <w:sz w:val="22"/>
                <w:szCs w:val="22"/>
              </w:rPr>
            </w:pPr>
            <w:r>
              <w:rPr>
                <w:sz w:val="22"/>
                <w:szCs w:val="22"/>
              </w:rPr>
              <w:t>Any Satisfactory QCR rated auditor by ICAP</w:t>
            </w:r>
          </w:p>
          <w:p>
            <w:pPr>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numPr>
                <w:ilvl w:val="0"/>
                <w:numId w:val="2"/>
              </w:numPr>
              <w:spacing w:after="120" w:line="276" w:lineRule="auto"/>
              <w:ind w:right="-158"/>
              <w:rPr>
                <w:b/>
                <w:sz w:val="26"/>
              </w:rPr>
            </w:pPr>
          </w:p>
        </w:tc>
        <w:tc>
          <w:tcPr>
            <w:tcW w:w="3088" w:type="dxa"/>
          </w:tcPr>
          <w:p>
            <w:pPr>
              <w:jc w:val="both"/>
              <w:rPr>
                <w:sz w:val="22"/>
                <w:szCs w:val="22"/>
                <w:highlight w:val="none"/>
              </w:rPr>
            </w:pPr>
            <w:r>
              <w:rPr>
                <w:sz w:val="22"/>
                <w:szCs w:val="22"/>
                <w:highlight w:val="none"/>
              </w:rPr>
              <w:t>Securities Exchange, Clearing House, Depository Companies or Commodity Exchange</w:t>
            </w:r>
          </w:p>
          <w:p>
            <w:pPr>
              <w:jc w:val="both"/>
              <w:rPr>
                <w:sz w:val="22"/>
                <w:szCs w:val="22"/>
                <w:highlight w:val="none"/>
              </w:rPr>
            </w:pPr>
          </w:p>
        </w:tc>
        <w:tc>
          <w:tcPr>
            <w:tcW w:w="3329" w:type="dxa"/>
          </w:tcPr>
          <w:p>
            <w:pPr>
              <w:jc w:val="both"/>
              <w:rPr>
                <w:sz w:val="22"/>
                <w:szCs w:val="22"/>
                <w:highlight w:val="none"/>
              </w:rPr>
            </w:pPr>
            <w:r>
              <w:rPr>
                <w:sz w:val="22"/>
                <w:szCs w:val="22"/>
                <w:highlight w:val="none"/>
              </w:rPr>
              <w:t>Not specified under existing regulatory framework. Auditors are approved by SECP</w:t>
            </w:r>
          </w:p>
        </w:tc>
        <w:tc>
          <w:tcPr>
            <w:tcW w:w="2490" w:type="dxa"/>
          </w:tcPr>
          <w:p>
            <w:pPr>
              <w:jc w:val="both"/>
              <w:rPr>
                <w:sz w:val="22"/>
                <w:szCs w:val="22"/>
              </w:rPr>
            </w:pPr>
            <w:r>
              <w:rPr>
                <w:sz w:val="22"/>
                <w:szCs w:val="22"/>
              </w:rPr>
              <w:t>Category A auditor of SECP 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numPr>
                <w:ilvl w:val="0"/>
                <w:numId w:val="2"/>
              </w:numPr>
              <w:spacing w:after="120" w:line="276" w:lineRule="auto"/>
              <w:ind w:right="-158"/>
              <w:rPr>
                <w:b/>
                <w:sz w:val="26"/>
              </w:rPr>
            </w:pPr>
          </w:p>
        </w:tc>
        <w:tc>
          <w:tcPr>
            <w:tcW w:w="3088" w:type="dxa"/>
          </w:tcPr>
          <w:p>
            <w:pPr>
              <w:jc w:val="both"/>
              <w:rPr>
                <w:sz w:val="22"/>
                <w:szCs w:val="22"/>
              </w:rPr>
            </w:pPr>
            <w:r>
              <w:rPr>
                <w:sz w:val="22"/>
                <w:szCs w:val="22"/>
              </w:rPr>
              <w:t>NBFCs with AuM of more than Rs. 50 billion and lending NBFCs (deposit taking)</w:t>
            </w:r>
          </w:p>
          <w:p>
            <w:pPr>
              <w:jc w:val="both"/>
              <w:rPr>
                <w:sz w:val="22"/>
                <w:szCs w:val="22"/>
              </w:rPr>
            </w:pPr>
          </w:p>
        </w:tc>
        <w:tc>
          <w:tcPr>
            <w:tcW w:w="3329" w:type="dxa"/>
          </w:tcPr>
          <w:p>
            <w:pPr>
              <w:jc w:val="both"/>
              <w:rPr>
                <w:sz w:val="22"/>
                <w:szCs w:val="22"/>
              </w:rPr>
            </w:pPr>
            <w:r>
              <w:rPr>
                <w:sz w:val="22"/>
                <w:szCs w:val="22"/>
              </w:rPr>
              <w:t>Not specified under existing regulatory framework.</w:t>
            </w:r>
          </w:p>
        </w:tc>
        <w:tc>
          <w:tcPr>
            <w:tcW w:w="2490" w:type="dxa"/>
          </w:tcPr>
          <w:p>
            <w:pPr>
              <w:jc w:val="both"/>
              <w:rPr>
                <w:sz w:val="22"/>
                <w:szCs w:val="22"/>
              </w:rPr>
            </w:pPr>
            <w:r>
              <w:rPr>
                <w:sz w:val="22"/>
                <w:szCs w:val="22"/>
              </w:rPr>
              <w:t>Category A auditors of SECP 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numPr>
                <w:ilvl w:val="0"/>
                <w:numId w:val="2"/>
              </w:numPr>
              <w:spacing w:after="120" w:line="276" w:lineRule="auto"/>
              <w:ind w:right="-158"/>
              <w:rPr>
                <w:b/>
                <w:sz w:val="26"/>
              </w:rPr>
            </w:pPr>
          </w:p>
        </w:tc>
        <w:tc>
          <w:tcPr>
            <w:tcW w:w="3088" w:type="dxa"/>
          </w:tcPr>
          <w:p>
            <w:pPr>
              <w:jc w:val="both"/>
              <w:rPr>
                <w:sz w:val="22"/>
                <w:szCs w:val="22"/>
              </w:rPr>
            </w:pPr>
            <w:r>
              <w:rPr>
                <w:sz w:val="22"/>
                <w:szCs w:val="22"/>
              </w:rPr>
              <w:t>NBFCs with AuM of less than Rs. 50 billion</w:t>
            </w:r>
          </w:p>
          <w:p>
            <w:pPr>
              <w:jc w:val="both"/>
              <w:rPr>
                <w:sz w:val="22"/>
                <w:szCs w:val="22"/>
              </w:rPr>
            </w:pPr>
          </w:p>
        </w:tc>
        <w:tc>
          <w:tcPr>
            <w:tcW w:w="3329" w:type="dxa"/>
          </w:tcPr>
          <w:p>
            <w:pPr>
              <w:jc w:val="both"/>
              <w:rPr>
                <w:sz w:val="22"/>
                <w:szCs w:val="22"/>
              </w:rPr>
            </w:pPr>
            <w:r>
              <w:rPr>
                <w:sz w:val="22"/>
                <w:szCs w:val="22"/>
              </w:rPr>
              <w:t>Not specified under existing regulatory framework.</w:t>
            </w:r>
          </w:p>
        </w:tc>
        <w:tc>
          <w:tcPr>
            <w:tcW w:w="2490" w:type="dxa"/>
          </w:tcPr>
          <w:p>
            <w:pPr>
              <w:jc w:val="both"/>
              <w:rPr>
                <w:sz w:val="22"/>
                <w:szCs w:val="22"/>
              </w:rPr>
            </w:pPr>
            <w:r>
              <w:rPr>
                <w:sz w:val="22"/>
                <w:szCs w:val="22"/>
              </w:rPr>
              <w:t>Category A and B auditors of SECP 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numPr>
                <w:ilvl w:val="0"/>
                <w:numId w:val="2"/>
              </w:numPr>
              <w:spacing w:after="120" w:line="276" w:lineRule="auto"/>
              <w:ind w:right="-158"/>
              <w:rPr>
                <w:b/>
                <w:sz w:val="26"/>
              </w:rPr>
            </w:pPr>
          </w:p>
        </w:tc>
        <w:tc>
          <w:tcPr>
            <w:tcW w:w="3088" w:type="dxa"/>
          </w:tcPr>
          <w:p>
            <w:pPr>
              <w:jc w:val="both"/>
              <w:rPr>
                <w:sz w:val="22"/>
                <w:szCs w:val="22"/>
              </w:rPr>
            </w:pPr>
            <w:r>
              <w:rPr>
                <w:bCs/>
                <w:color w:val="000000" w:themeColor="text1"/>
                <w:sz w:val="22"/>
                <w:szCs w:val="22"/>
                <w14:textFill>
                  <w14:solidFill>
                    <w14:schemeClr w14:val="tx1"/>
                  </w14:solidFill>
                </w14:textFill>
              </w:rPr>
              <w:t xml:space="preserve">Securities and Futures Advisers </w:t>
            </w:r>
            <w:r>
              <w:rPr>
                <w:sz w:val="22"/>
                <w:szCs w:val="22"/>
              </w:rPr>
              <w:t>and lending NBFCs (deposit taking)</w:t>
            </w:r>
          </w:p>
          <w:p>
            <w:pPr>
              <w:jc w:val="both"/>
              <w:rPr>
                <w:sz w:val="22"/>
                <w:szCs w:val="22"/>
              </w:rPr>
            </w:pPr>
          </w:p>
        </w:tc>
        <w:tc>
          <w:tcPr>
            <w:tcW w:w="3329" w:type="dxa"/>
          </w:tcPr>
          <w:p>
            <w:pPr>
              <w:jc w:val="both"/>
              <w:rPr>
                <w:sz w:val="22"/>
                <w:szCs w:val="22"/>
              </w:rPr>
            </w:pPr>
            <w:r>
              <w:rPr>
                <w:sz w:val="22"/>
                <w:szCs w:val="22"/>
              </w:rPr>
              <w:t>Not specified under existing regulatory framework.</w:t>
            </w:r>
          </w:p>
        </w:tc>
        <w:tc>
          <w:tcPr>
            <w:tcW w:w="2490" w:type="dxa"/>
          </w:tcPr>
          <w:p>
            <w:pPr>
              <w:jc w:val="both"/>
              <w:rPr>
                <w:sz w:val="22"/>
                <w:szCs w:val="22"/>
              </w:rPr>
            </w:pPr>
            <w:r>
              <w:rPr>
                <w:sz w:val="22"/>
                <w:szCs w:val="22"/>
              </w:rPr>
              <w:t>Any satisfactory QCR rated auditor by ICAP.</w:t>
            </w:r>
          </w:p>
          <w:p>
            <w:pPr>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numPr>
                <w:ilvl w:val="0"/>
                <w:numId w:val="2"/>
              </w:numPr>
              <w:spacing w:after="120" w:line="276" w:lineRule="auto"/>
              <w:ind w:right="-158"/>
              <w:rPr>
                <w:b/>
                <w:sz w:val="26"/>
              </w:rPr>
            </w:pPr>
          </w:p>
        </w:tc>
        <w:tc>
          <w:tcPr>
            <w:tcW w:w="3088" w:type="dxa"/>
          </w:tcPr>
          <w:p>
            <w:pPr>
              <w:jc w:val="both"/>
              <w:rPr>
                <w:sz w:val="22"/>
                <w:szCs w:val="22"/>
              </w:rPr>
            </w:pPr>
            <w:r>
              <w:rPr>
                <w:sz w:val="22"/>
                <w:szCs w:val="22"/>
              </w:rPr>
              <w:t>Insurance, reinsurance or takaful operators having total assets of more than Rs 10 billion</w:t>
            </w:r>
          </w:p>
          <w:p>
            <w:pPr>
              <w:jc w:val="both"/>
              <w:rPr>
                <w:sz w:val="22"/>
                <w:szCs w:val="22"/>
              </w:rPr>
            </w:pPr>
          </w:p>
        </w:tc>
        <w:tc>
          <w:tcPr>
            <w:tcW w:w="3329" w:type="dxa"/>
          </w:tcPr>
          <w:p>
            <w:pPr>
              <w:jc w:val="both"/>
              <w:rPr>
                <w:sz w:val="22"/>
                <w:szCs w:val="22"/>
              </w:rPr>
            </w:pPr>
            <w:r>
              <w:rPr>
                <w:sz w:val="22"/>
                <w:szCs w:val="22"/>
              </w:rPr>
              <w:t>Category A auditor of Panel approved by the Insurance Division of the SECP for all entities having Gross Written Premium and Total Assets more than Rs. 1 billion.</w:t>
            </w:r>
          </w:p>
          <w:p>
            <w:pPr>
              <w:jc w:val="both"/>
              <w:rPr>
                <w:sz w:val="22"/>
                <w:szCs w:val="22"/>
              </w:rPr>
            </w:pPr>
          </w:p>
        </w:tc>
        <w:tc>
          <w:tcPr>
            <w:tcW w:w="2490" w:type="dxa"/>
          </w:tcPr>
          <w:p>
            <w:pPr>
              <w:jc w:val="both"/>
              <w:rPr>
                <w:sz w:val="22"/>
                <w:szCs w:val="22"/>
              </w:rPr>
            </w:pPr>
            <w:r>
              <w:rPr>
                <w:sz w:val="22"/>
                <w:szCs w:val="22"/>
              </w:rPr>
              <w:t>Category A auditor of SECP 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numPr>
                <w:ilvl w:val="0"/>
                <w:numId w:val="2"/>
              </w:numPr>
              <w:spacing w:after="120" w:line="276" w:lineRule="auto"/>
              <w:ind w:right="-158"/>
              <w:rPr>
                <w:b/>
                <w:sz w:val="26"/>
              </w:rPr>
            </w:pPr>
          </w:p>
        </w:tc>
        <w:tc>
          <w:tcPr>
            <w:tcW w:w="3088" w:type="dxa"/>
          </w:tcPr>
          <w:p>
            <w:pPr>
              <w:jc w:val="both"/>
              <w:rPr>
                <w:sz w:val="22"/>
                <w:szCs w:val="22"/>
              </w:rPr>
            </w:pPr>
            <w:r>
              <w:rPr>
                <w:sz w:val="22"/>
                <w:szCs w:val="22"/>
              </w:rPr>
              <w:t>Insurance, reinsurance or takaful operators having total assets of Rs 10 billion or less</w:t>
            </w:r>
          </w:p>
          <w:p>
            <w:pPr>
              <w:jc w:val="both"/>
              <w:rPr>
                <w:sz w:val="22"/>
                <w:szCs w:val="22"/>
              </w:rPr>
            </w:pPr>
          </w:p>
        </w:tc>
        <w:tc>
          <w:tcPr>
            <w:tcW w:w="3329" w:type="dxa"/>
          </w:tcPr>
          <w:p>
            <w:pPr>
              <w:jc w:val="both"/>
              <w:rPr>
                <w:sz w:val="22"/>
                <w:szCs w:val="22"/>
              </w:rPr>
            </w:pPr>
            <w:r>
              <w:rPr>
                <w:sz w:val="22"/>
                <w:szCs w:val="22"/>
              </w:rPr>
              <w:t>Category A auditor of Panel approved by the Insurance Division of the SECP for all entities having Gross Written Premium and Total Assets more than Rs. 1 billion.</w:t>
            </w:r>
          </w:p>
          <w:p>
            <w:pPr>
              <w:jc w:val="both"/>
              <w:rPr>
                <w:sz w:val="22"/>
                <w:szCs w:val="22"/>
              </w:rPr>
            </w:pPr>
          </w:p>
          <w:p>
            <w:pPr>
              <w:jc w:val="both"/>
              <w:rPr>
                <w:sz w:val="22"/>
                <w:szCs w:val="22"/>
              </w:rPr>
            </w:pPr>
            <w:r>
              <w:rPr>
                <w:sz w:val="22"/>
                <w:szCs w:val="22"/>
              </w:rPr>
              <w:t>Category A and B auditor of Panel approved by the Insurance Division of the SECP for all entities having Gross Written Premium and Total Assets less than Rs. 1 billion.</w:t>
            </w:r>
          </w:p>
          <w:p>
            <w:pPr>
              <w:jc w:val="both"/>
              <w:rPr>
                <w:sz w:val="22"/>
                <w:szCs w:val="22"/>
              </w:rPr>
            </w:pPr>
          </w:p>
        </w:tc>
        <w:tc>
          <w:tcPr>
            <w:tcW w:w="2490" w:type="dxa"/>
          </w:tcPr>
          <w:p>
            <w:pPr>
              <w:jc w:val="both"/>
              <w:rPr>
                <w:sz w:val="22"/>
                <w:szCs w:val="22"/>
              </w:rPr>
            </w:pPr>
            <w:r>
              <w:rPr>
                <w:sz w:val="22"/>
                <w:szCs w:val="22"/>
              </w:rPr>
              <w:t>Category A and B auditor of SECP 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numPr>
                <w:ilvl w:val="0"/>
                <w:numId w:val="2"/>
              </w:numPr>
              <w:spacing w:after="120" w:line="276" w:lineRule="auto"/>
              <w:ind w:right="-158"/>
              <w:rPr>
                <w:b/>
                <w:sz w:val="26"/>
              </w:rPr>
            </w:pPr>
          </w:p>
        </w:tc>
        <w:tc>
          <w:tcPr>
            <w:tcW w:w="3088" w:type="dxa"/>
          </w:tcPr>
          <w:p>
            <w:pPr>
              <w:jc w:val="both"/>
              <w:rPr>
                <w:bCs/>
                <w:color w:val="000000" w:themeColor="text1"/>
                <w:sz w:val="22"/>
                <w:szCs w:val="22"/>
                <w14:textFill>
                  <w14:solidFill>
                    <w14:schemeClr w14:val="tx1"/>
                  </w14:solidFill>
                </w14:textFill>
              </w:rPr>
            </w:pPr>
            <w:r>
              <w:rPr>
                <w:bCs/>
                <w:color w:val="000000" w:themeColor="text1"/>
                <w:sz w:val="22"/>
                <w:szCs w:val="22"/>
                <w14:textFill>
                  <w14:solidFill>
                    <w14:schemeClr w14:val="tx1"/>
                  </w14:solidFill>
                </w14:textFill>
              </w:rPr>
              <w:t>Insurance brokers, reinsurance brokers and third party administrators</w:t>
            </w:r>
          </w:p>
          <w:p>
            <w:pPr>
              <w:jc w:val="both"/>
              <w:rPr>
                <w:bCs/>
                <w:color w:val="000000" w:themeColor="text1"/>
                <w:sz w:val="22"/>
                <w:szCs w:val="22"/>
                <w14:textFill>
                  <w14:solidFill>
                    <w14:schemeClr w14:val="tx1"/>
                  </w14:solidFill>
                </w14:textFill>
              </w:rPr>
            </w:pPr>
          </w:p>
        </w:tc>
        <w:tc>
          <w:tcPr>
            <w:tcW w:w="3329" w:type="dxa"/>
          </w:tcPr>
          <w:p>
            <w:pPr>
              <w:jc w:val="both"/>
              <w:rPr>
                <w:sz w:val="22"/>
                <w:szCs w:val="22"/>
              </w:rPr>
            </w:pPr>
            <w:r>
              <w:rPr>
                <w:sz w:val="22"/>
                <w:szCs w:val="22"/>
              </w:rPr>
              <w:t>Not specified under existing regulatory framework.</w:t>
            </w:r>
          </w:p>
        </w:tc>
        <w:tc>
          <w:tcPr>
            <w:tcW w:w="2490" w:type="dxa"/>
          </w:tcPr>
          <w:p>
            <w:pPr>
              <w:jc w:val="both"/>
              <w:rPr>
                <w:sz w:val="22"/>
                <w:szCs w:val="22"/>
              </w:rPr>
            </w:pPr>
            <w:r>
              <w:rPr>
                <w:sz w:val="22"/>
                <w:szCs w:val="22"/>
              </w:rPr>
              <w:t>Any satisfactory QCR rated auditor by ICAP</w:t>
            </w:r>
          </w:p>
          <w:p>
            <w:pPr>
              <w:jc w:val="both"/>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numPr>
                <w:ilvl w:val="0"/>
                <w:numId w:val="2"/>
              </w:numPr>
              <w:spacing w:after="120" w:line="276" w:lineRule="auto"/>
              <w:ind w:right="-158"/>
              <w:rPr>
                <w:b/>
                <w:sz w:val="26"/>
              </w:rPr>
            </w:pPr>
          </w:p>
        </w:tc>
        <w:tc>
          <w:tcPr>
            <w:tcW w:w="3088" w:type="dxa"/>
          </w:tcPr>
          <w:p>
            <w:pPr>
              <w:jc w:val="both"/>
              <w:rPr>
                <w:bCs/>
                <w:color w:val="000000" w:themeColor="text1"/>
                <w:sz w:val="22"/>
                <w:szCs w:val="22"/>
                <w14:textFill>
                  <w14:solidFill>
                    <w14:schemeClr w14:val="tx1"/>
                  </w14:solidFill>
                </w14:textFill>
              </w:rPr>
            </w:pPr>
            <w:r>
              <w:rPr>
                <w:bCs/>
                <w:color w:val="000000" w:themeColor="text1"/>
                <w:sz w:val="22"/>
                <w:szCs w:val="22"/>
                <w14:textFill>
                  <w14:solidFill>
                    <w14:schemeClr w14:val="tx1"/>
                  </w14:solidFill>
                </w14:textFill>
              </w:rPr>
              <w:t>Modarabas having asset size of more than Rs. 1 billion</w:t>
            </w:r>
          </w:p>
          <w:p>
            <w:pPr>
              <w:jc w:val="both"/>
              <w:rPr>
                <w:bCs/>
                <w:color w:val="000000" w:themeColor="text1"/>
                <w:sz w:val="22"/>
                <w:szCs w:val="22"/>
                <w14:textFill>
                  <w14:solidFill>
                    <w14:schemeClr w14:val="tx1"/>
                  </w14:solidFill>
                </w14:textFill>
              </w:rPr>
            </w:pPr>
          </w:p>
        </w:tc>
        <w:tc>
          <w:tcPr>
            <w:tcW w:w="3329" w:type="dxa"/>
          </w:tcPr>
          <w:p>
            <w:pPr>
              <w:jc w:val="both"/>
              <w:rPr>
                <w:sz w:val="22"/>
                <w:szCs w:val="22"/>
              </w:rPr>
            </w:pPr>
            <w:r>
              <w:rPr>
                <w:sz w:val="22"/>
                <w:szCs w:val="22"/>
              </w:rPr>
              <w:t xml:space="preserve">Panel of auditors maintained for Modarabas by the SECP  </w:t>
            </w:r>
          </w:p>
        </w:tc>
        <w:tc>
          <w:tcPr>
            <w:tcW w:w="2490" w:type="dxa"/>
          </w:tcPr>
          <w:p>
            <w:pPr>
              <w:jc w:val="both"/>
              <w:rPr>
                <w:sz w:val="22"/>
                <w:szCs w:val="22"/>
              </w:rPr>
            </w:pPr>
            <w:r>
              <w:rPr>
                <w:sz w:val="22"/>
                <w:szCs w:val="22"/>
              </w:rPr>
              <w:t>Category A auditor of SECP 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numPr>
                <w:ilvl w:val="0"/>
                <w:numId w:val="2"/>
              </w:numPr>
              <w:spacing w:after="120" w:line="276" w:lineRule="auto"/>
              <w:ind w:right="-158"/>
              <w:rPr>
                <w:b/>
                <w:sz w:val="26"/>
              </w:rPr>
            </w:pPr>
          </w:p>
        </w:tc>
        <w:tc>
          <w:tcPr>
            <w:tcW w:w="3088" w:type="dxa"/>
          </w:tcPr>
          <w:p>
            <w:pPr>
              <w:jc w:val="both"/>
              <w:rPr>
                <w:bCs/>
                <w:color w:val="000000" w:themeColor="text1"/>
                <w:sz w:val="22"/>
                <w:szCs w:val="22"/>
                <w14:textFill>
                  <w14:solidFill>
                    <w14:schemeClr w14:val="tx1"/>
                  </w14:solidFill>
                </w14:textFill>
              </w:rPr>
            </w:pPr>
            <w:r>
              <w:rPr>
                <w:bCs/>
                <w:color w:val="000000" w:themeColor="text1"/>
                <w:sz w:val="22"/>
                <w:szCs w:val="22"/>
                <w14:textFill>
                  <w14:solidFill>
                    <w14:schemeClr w14:val="tx1"/>
                  </w14:solidFill>
                </w14:textFill>
              </w:rPr>
              <w:t>Modarabas having asset size of less than Rs. 1 billion</w:t>
            </w:r>
          </w:p>
          <w:p>
            <w:pPr>
              <w:jc w:val="both"/>
              <w:rPr>
                <w:bCs/>
                <w:color w:val="000000" w:themeColor="text1"/>
                <w:sz w:val="22"/>
                <w:szCs w:val="22"/>
                <w14:textFill>
                  <w14:solidFill>
                    <w14:schemeClr w14:val="tx1"/>
                  </w14:solidFill>
                </w14:textFill>
              </w:rPr>
            </w:pPr>
          </w:p>
        </w:tc>
        <w:tc>
          <w:tcPr>
            <w:tcW w:w="3329" w:type="dxa"/>
          </w:tcPr>
          <w:p>
            <w:pPr>
              <w:jc w:val="both"/>
              <w:rPr>
                <w:sz w:val="22"/>
                <w:szCs w:val="22"/>
              </w:rPr>
            </w:pPr>
            <w:r>
              <w:rPr>
                <w:sz w:val="22"/>
                <w:szCs w:val="22"/>
              </w:rPr>
              <w:t xml:space="preserve">Panel of auditors maintained for Modarabas by the SECP </w:t>
            </w:r>
          </w:p>
        </w:tc>
        <w:tc>
          <w:tcPr>
            <w:tcW w:w="2490" w:type="dxa"/>
          </w:tcPr>
          <w:p>
            <w:pPr>
              <w:jc w:val="both"/>
              <w:rPr>
                <w:sz w:val="22"/>
                <w:szCs w:val="22"/>
              </w:rPr>
            </w:pPr>
            <w:r>
              <w:rPr>
                <w:sz w:val="22"/>
                <w:szCs w:val="22"/>
              </w:rPr>
              <w:t>Category A and B auditor of SECP 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0" w:type="dxa"/>
          </w:tcPr>
          <w:p>
            <w:pPr>
              <w:numPr>
                <w:ilvl w:val="0"/>
                <w:numId w:val="2"/>
              </w:numPr>
              <w:spacing w:after="120" w:line="276" w:lineRule="auto"/>
              <w:ind w:right="-158"/>
              <w:rPr>
                <w:b/>
                <w:sz w:val="26"/>
              </w:rPr>
            </w:pPr>
          </w:p>
        </w:tc>
        <w:tc>
          <w:tcPr>
            <w:tcW w:w="3088" w:type="dxa"/>
          </w:tcPr>
          <w:p>
            <w:pPr>
              <w:jc w:val="both"/>
              <w:rPr>
                <w:bCs/>
                <w:color w:val="000000" w:themeColor="text1"/>
                <w:sz w:val="22"/>
                <w:szCs w:val="22"/>
                <w14:textFill>
                  <w14:solidFill>
                    <w14:schemeClr w14:val="tx1"/>
                  </w14:solidFill>
                </w14:textFill>
              </w:rPr>
            </w:pPr>
            <w:r>
              <w:rPr>
                <w:bCs/>
                <w:color w:val="000000" w:themeColor="text1"/>
                <w:sz w:val="22"/>
                <w:szCs w:val="22"/>
                <w14:textFill>
                  <w14:solidFill>
                    <w14:schemeClr w14:val="tx1"/>
                  </w14:solidFill>
                </w14:textFill>
              </w:rPr>
              <w:t>Modarabas having asset size of less than Rs. 200 million</w:t>
            </w:r>
          </w:p>
        </w:tc>
        <w:tc>
          <w:tcPr>
            <w:tcW w:w="3329" w:type="dxa"/>
          </w:tcPr>
          <w:p>
            <w:pPr>
              <w:jc w:val="both"/>
              <w:rPr>
                <w:sz w:val="22"/>
                <w:szCs w:val="22"/>
              </w:rPr>
            </w:pPr>
            <w:r>
              <w:rPr>
                <w:sz w:val="22"/>
                <w:szCs w:val="22"/>
              </w:rPr>
              <w:t xml:space="preserve">Panel of auditors maintained for Modarabas by the SECP </w:t>
            </w:r>
          </w:p>
        </w:tc>
        <w:tc>
          <w:tcPr>
            <w:tcW w:w="2490" w:type="dxa"/>
          </w:tcPr>
          <w:p>
            <w:pPr>
              <w:jc w:val="both"/>
              <w:rPr>
                <w:sz w:val="22"/>
                <w:szCs w:val="22"/>
              </w:rPr>
            </w:pPr>
            <w:r>
              <w:rPr>
                <w:sz w:val="22"/>
                <w:szCs w:val="22"/>
              </w:rPr>
              <w:t>Any satisfactory QCR rated auditor by ICAP</w:t>
            </w:r>
          </w:p>
          <w:p>
            <w:pPr>
              <w:jc w:val="both"/>
              <w:rPr>
                <w:sz w:val="22"/>
                <w:szCs w:val="22"/>
              </w:rPr>
            </w:pPr>
          </w:p>
        </w:tc>
      </w:tr>
    </w:tbl>
    <w:p>
      <w:pPr>
        <w:spacing w:after="120" w:line="276" w:lineRule="auto"/>
        <w:ind w:right="-158"/>
        <w:rPr>
          <w:b/>
          <w:sz w:val="26"/>
        </w:rPr>
      </w:pPr>
    </w:p>
    <w:p>
      <w:pPr>
        <w:spacing w:after="120" w:line="276" w:lineRule="auto"/>
        <w:ind w:right="-158"/>
        <w:rPr>
          <w:b/>
          <w:sz w:val="26"/>
        </w:rPr>
      </w:pPr>
    </w:p>
    <w:p>
      <w:pPr>
        <w:numPr>
          <w:ilvl w:val="0"/>
          <w:numId w:val="1"/>
        </w:numPr>
        <w:spacing w:after="120" w:line="276" w:lineRule="auto"/>
        <w:ind w:right="-158" w:hanging="4"/>
        <w:rPr>
          <w:b/>
          <w:sz w:val="26"/>
        </w:rPr>
      </w:pPr>
      <w:r>
        <w:rPr>
          <w:b/>
          <w:sz w:val="26"/>
        </w:rPr>
        <w:t>Categorization of Audit Firms</w:t>
      </w:r>
    </w:p>
    <w:p>
      <w:pPr>
        <w:spacing w:line="276" w:lineRule="auto"/>
        <w:jc w:val="both"/>
        <w:rPr>
          <w:sz w:val="22"/>
          <w:szCs w:val="22"/>
        </w:rPr>
      </w:pPr>
      <w:r>
        <w:rPr>
          <w:sz w:val="22"/>
          <w:szCs w:val="22"/>
        </w:rPr>
        <w:t>The Commission had initiated the process of constituting a panel of audit firms to conduct statutory audits of certain entities registered or licensed with SECP. In this regard, audit firms, having satisfactory rating from the Institute of Chartered Accountants of Pakistan (ICAP), under its Quality Control Review (QCR) program were invited to apply for placement on the panel through prescribed application forms. A press release was also issued by the Commission for inviting applications by interested firms.</w:t>
      </w:r>
    </w:p>
    <w:p>
      <w:pPr>
        <w:spacing w:line="276" w:lineRule="auto"/>
        <w:jc w:val="both"/>
        <w:rPr>
          <w:sz w:val="22"/>
          <w:szCs w:val="22"/>
        </w:rPr>
      </w:pPr>
    </w:p>
    <w:p>
      <w:pPr>
        <w:spacing w:line="276" w:lineRule="auto"/>
        <w:jc w:val="both"/>
        <w:rPr>
          <w:sz w:val="22"/>
          <w:szCs w:val="22"/>
        </w:rPr>
      </w:pPr>
      <w:r>
        <w:rPr>
          <w:sz w:val="22"/>
          <w:szCs w:val="22"/>
        </w:rPr>
        <w:t>Based on analysis of information submitted to SECP, audit firms will be categorized into aforementioned categories and the subject panel will be notified along with necessary changes in the regulatory framework as explained in ensuing section.</w:t>
      </w:r>
    </w:p>
    <w:p>
      <w:pPr>
        <w:tabs>
          <w:tab w:val="left" w:pos="425"/>
        </w:tabs>
        <w:jc w:val="both"/>
        <w:rPr>
          <w:b/>
          <w:sz w:val="26"/>
        </w:rPr>
      </w:pPr>
    </w:p>
    <w:p>
      <w:pPr>
        <w:numPr>
          <w:ilvl w:val="0"/>
          <w:numId w:val="1"/>
        </w:numPr>
        <w:spacing w:after="120" w:line="276" w:lineRule="auto"/>
        <w:ind w:right="-158" w:hanging="4"/>
        <w:rPr>
          <w:sz w:val="22"/>
          <w:szCs w:val="22"/>
        </w:rPr>
      </w:pPr>
      <w:r>
        <w:rPr>
          <w:b/>
          <w:sz w:val="26"/>
        </w:rPr>
        <w:t xml:space="preserve"> Issuance of New Circular and Regulatory Changes:</w:t>
      </w:r>
    </w:p>
    <w:p>
      <w:pPr>
        <w:jc w:val="both"/>
        <w:rPr>
          <w:sz w:val="22"/>
          <w:szCs w:val="22"/>
        </w:rPr>
      </w:pPr>
      <w:r>
        <w:rPr>
          <w:sz w:val="22"/>
          <w:szCs w:val="22"/>
        </w:rPr>
        <w:t>For finalizing implementation of SECP panel of auditors, consequential changes are necessary in the Securities Brokers (Licensing and Operations) Regulations, 2016 and the licensing regulations for the securities exchange, futures exchange, clearing house and central depository. The SECP panel shall be issued after aforementioned necessary consequential amendments have been finalized. Further, earlier circulars mentioned below issued by respective internal departments of the SECP such as insurance and modaraba will also be superseded by new circular notifying unified panel of auditor:</w:t>
      </w:r>
    </w:p>
    <w:p>
      <w:pPr>
        <w:jc w:val="both"/>
        <w:rPr>
          <w:sz w:val="22"/>
          <w:szCs w:val="22"/>
        </w:rPr>
      </w:pPr>
    </w:p>
    <w:p>
      <w:pPr>
        <w:numPr>
          <w:ilvl w:val="1"/>
          <w:numId w:val="3"/>
        </w:numPr>
        <w:tabs>
          <w:tab w:val="clear" w:pos="840"/>
        </w:tabs>
        <w:spacing w:after="240"/>
        <w:ind w:left="240" w:firstLine="0"/>
        <w:jc w:val="both"/>
        <w:rPr>
          <w:sz w:val="22"/>
          <w:szCs w:val="22"/>
        </w:rPr>
      </w:pPr>
      <w:r>
        <w:rPr>
          <w:sz w:val="22"/>
          <w:szCs w:val="22"/>
        </w:rPr>
        <w:t>Circular no. 04 of 2014 dated January 31, 2014 and Circular no. 21 of 2021 dated July 6, 2021 of the Insurance Division  for providing criteria for enlistment of approved auditors for insurance companies and dissemination of approved list of auditors pursuant to section 48(1) of the Insurance Ordinance, 2000.</w:t>
      </w:r>
    </w:p>
    <w:p>
      <w:pPr>
        <w:numPr>
          <w:ilvl w:val="1"/>
          <w:numId w:val="3"/>
        </w:numPr>
        <w:tabs>
          <w:tab w:val="clear" w:pos="840"/>
        </w:tabs>
        <w:spacing w:after="240"/>
        <w:ind w:left="240" w:firstLine="0"/>
        <w:jc w:val="both"/>
        <w:rPr>
          <w:sz w:val="22"/>
          <w:szCs w:val="22"/>
        </w:rPr>
      </w:pPr>
      <w:r>
        <w:rPr>
          <w:sz w:val="22"/>
          <w:szCs w:val="22"/>
        </w:rPr>
        <w:t>various circulars and updates resting with Circular No. 21 of 2005 dated November 18, 2005 and Circular No. 28 of 2009 dated September 4, 2009 and Letter dated July 02, 2021 issued by Policy, Regulation and Development Department (Modaraba Wing) of Specialized Companies Division.</w:t>
      </w:r>
    </w:p>
    <w:p>
      <w:pPr>
        <w:pStyle w:val="42"/>
        <w:tabs>
          <w:tab w:val="left" w:pos="425"/>
          <w:tab w:val="left" w:pos="9180"/>
        </w:tabs>
        <w:spacing w:after="0" w:line="276" w:lineRule="auto"/>
        <w:jc w:val="both"/>
        <w:rPr>
          <w:rFonts w:ascii="Times New Roman" w:hAnsi="Times New Roman" w:cs="Times New Roman"/>
          <w:sz w:val="22"/>
          <w:szCs w:val="22"/>
          <w:lang w:val="en-US"/>
        </w:rPr>
      </w:pPr>
      <w:r>
        <w:rPr>
          <w:rFonts w:ascii="Times New Roman" w:hAnsi="Times New Roman" w:cs="Times New Roman"/>
          <w:sz w:val="22"/>
          <w:szCs w:val="22"/>
          <w:lang w:val="en-US"/>
        </w:rPr>
        <w:t>The previous circulars issued by the Commission on the subject shall be superseded by a new Circular,  which shall provide the approved panel of auditors for SECP regulated entities under the SECP Act, 1997 read with applicable provisions of regulatory framework governing various sectors. The SECP regulated entities specified within the circular shall appoint their auditors, to conduct statutory audit with effect from the specified date of implementation.</w:t>
      </w:r>
    </w:p>
    <w:p>
      <w:pPr>
        <w:spacing w:line="276" w:lineRule="auto"/>
        <w:jc w:val="both"/>
        <w:rPr>
          <w:sz w:val="22"/>
          <w:szCs w:val="22"/>
        </w:rPr>
      </w:pPr>
    </w:p>
    <w:p>
      <w:pPr>
        <w:spacing w:line="276" w:lineRule="auto"/>
        <w:jc w:val="both"/>
        <w:rPr>
          <w:rFonts w:hint="default"/>
          <w:sz w:val="22"/>
          <w:szCs w:val="22"/>
          <w:lang w:val="en-US"/>
        </w:rPr>
      </w:pPr>
      <w:r>
        <w:rPr>
          <w:sz w:val="22"/>
          <w:szCs w:val="22"/>
        </w:rPr>
        <w:t xml:space="preserve">The notifications for draft amendments in relevant licensing regulations </w:t>
      </w:r>
      <w:r>
        <w:rPr>
          <w:rFonts w:hint="default"/>
          <w:sz w:val="22"/>
          <w:szCs w:val="22"/>
          <w:lang w:val="en-US"/>
        </w:rPr>
        <w:t>have been placed on SECP website under the following tabs: Laws --&gt; Drafts for Discussion --&gt; Draft Rules, Regulations and Concepts</w:t>
      </w:r>
    </w:p>
    <w:p>
      <w:pPr>
        <w:pStyle w:val="36"/>
        <w:ind w:left="0"/>
        <w:rPr>
          <w:sz w:val="22"/>
          <w:szCs w:val="22"/>
        </w:rPr>
      </w:pPr>
      <w:r>
        <w:rPr>
          <w:sz w:val="22"/>
          <w:szCs w:val="22"/>
        </w:rPr>
        <w:t xml:space="preserve"> </w:t>
      </w:r>
    </w:p>
    <w:p>
      <w:pPr>
        <w:pStyle w:val="42"/>
        <w:numPr>
          <w:ilvl w:val="0"/>
          <w:numId w:val="1"/>
        </w:numPr>
        <w:tabs>
          <w:tab w:val="left" w:pos="450"/>
          <w:tab w:val="left" w:pos="9180"/>
        </w:tabs>
        <w:spacing w:after="120" w:line="276" w:lineRule="auto"/>
        <w:ind w:hanging="4"/>
        <w:jc w:val="both"/>
        <w:rPr>
          <w:rFonts w:ascii="Times New Roman" w:hAnsi="Times New Roman" w:cs="Times New Roman"/>
          <w:b/>
          <w:sz w:val="26"/>
          <w:szCs w:val="26"/>
        </w:rPr>
      </w:pPr>
      <w:r>
        <w:rPr>
          <w:rFonts w:ascii="Times New Roman" w:hAnsi="Times New Roman" w:cs="Times New Roman"/>
          <w:b/>
          <w:sz w:val="26"/>
          <w:szCs w:val="26"/>
        </w:rPr>
        <w:t>Feedback</w:t>
      </w:r>
    </w:p>
    <w:p>
      <w:pPr>
        <w:pStyle w:val="42"/>
        <w:tabs>
          <w:tab w:val="left" w:pos="450"/>
          <w:tab w:val="left" w:pos="9180"/>
        </w:tabs>
        <w:spacing w:after="120" w:line="276" w:lineRule="auto"/>
        <w:ind w:hanging="4"/>
        <w:jc w:val="both"/>
        <w:rPr>
          <w:rFonts w:ascii="Times New Roman" w:hAnsi="Times New Roman" w:cs="Times New Roman"/>
          <w:sz w:val="22"/>
          <w:szCs w:val="22"/>
        </w:rPr>
      </w:pPr>
      <w:r>
        <w:rPr>
          <w:rFonts w:ascii="Times New Roman" w:hAnsi="Times New Roman" w:cs="Times New Roman"/>
          <w:sz w:val="22"/>
          <w:szCs w:val="22"/>
        </w:rPr>
        <w:t>The feedback/comments on the proposed changes may be shared with the Commission as per below format.</w:t>
      </w:r>
    </w:p>
    <w:tbl>
      <w:tblPr>
        <w:tblStyle w:val="53"/>
        <w:tblW w:w="9360" w:type="dxa"/>
        <w:tblInd w:w="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1"/>
        <w:gridCol w:w="2600"/>
        <w:gridCol w:w="2156"/>
        <w:gridCol w:w="1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66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hint="default" w:ascii="Times New Roman" w:hAnsi="Times New Roman" w:cs="Times New Roman" w:eastAsiaTheme="minorHAnsi"/>
                <w:bCs/>
                <w:color w:val="000000"/>
                <w:sz w:val="22"/>
                <w:szCs w:val="22"/>
              </w:rPr>
            </w:pPr>
            <w:r>
              <w:rPr>
                <w:rFonts w:hint="default" w:ascii="Times New Roman" w:hAnsi="Times New Roman" w:cs="Times New Roman" w:eastAsiaTheme="minorHAnsi"/>
                <w:bCs/>
                <w:color w:val="000000"/>
                <w:sz w:val="22"/>
                <w:szCs w:val="22"/>
              </w:rPr>
              <w:t>Name of the Commenter</w:t>
            </w:r>
          </w:p>
        </w:tc>
        <w:tc>
          <w:tcPr>
            <w:tcW w:w="6699"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hint="default" w:ascii="Times New Roman" w:hAnsi="Times New Roman" w:cs="Times New Roman" w:eastAsiaTheme="minorHAnsi"/>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66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hint="default" w:ascii="Times New Roman" w:hAnsi="Times New Roman" w:cs="Times New Roman" w:eastAsiaTheme="minorHAnsi"/>
                <w:bCs/>
                <w:color w:val="000000"/>
                <w:sz w:val="22"/>
                <w:szCs w:val="22"/>
              </w:rPr>
            </w:pPr>
            <w:r>
              <w:rPr>
                <w:rFonts w:hint="default" w:ascii="Times New Roman" w:hAnsi="Times New Roman" w:cs="Times New Roman" w:eastAsiaTheme="minorHAnsi"/>
                <w:bCs/>
                <w:color w:val="000000"/>
                <w:sz w:val="22"/>
                <w:szCs w:val="22"/>
              </w:rPr>
              <w:t>Name of the related Entity</w:t>
            </w:r>
          </w:p>
        </w:tc>
        <w:tc>
          <w:tcPr>
            <w:tcW w:w="6699"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hint="default" w:ascii="Times New Roman" w:hAnsi="Times New Roman" w:cs="Times New Roman" w:eastAsiaTheme="minorHAnsi"/>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66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hint="default" w:ascii="Times New Roman" w:hAnsi="Times New Roman" w:cs="Times New Roman" w:eastAsiaTheme="minorHAnsi"/>
                <w:color w:val="000000"/>
                <w:sz w:val="22"/>
                <w:szCs w:val="22"/>
              </w:rPr>
            </w:pPr>
            <w:r>
              <w:rPr>
                <w:rFonts w:hint="default" w:ascii="Times New Roman" w:hAnsi="Times New Roman" w:cs="Times New Roman" w:eastAsiaTheme="minorHAnsi"/>
                <w:bCs/>
                <w:color w:val="000000"/>
                <w:sz w:val="22"/>
                <w:szCs w:val="22"/>
              </w:rPr>
              <w:t xml:space="preserve">Sr. No. </w:t>
            </w:r>
          </w:p>
        </w:tc>
        <w:tc>
          <w:tcPr>
            <w:tcW w:w="26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hint="default" w:ascii="Times New Roman" w:hAnsi="Times New Roman" w:cs="Times New Roman" w:eastAsiaTheme="minorHAnsi"/>
                <w:color w:val="000000"/>
                <w:sz w:val="22"/>
                <w:szCs w:val="22"/>
              </w:rPr>
            </w:pPr>
            <w:r>
              <w:rPr>
                <w:rFonts w:hint="default" w:ascii="Times New Roman" w:hAnsi="Times New Roman" w:cs="Times New Roman" w:eastAsiaTheme="minorHAnsi"/>
                <w:bCs/>
                <w:color w:val="000000"/>
                <w:sz w:val="22"/>
                <w:szCs w:val="22"/>
              </w:rPr>
              <w:t xml:space="preserve">Regulation/ Section No.  </w:t>
            </w:r>
          </w:p>
        </w:tc>
        <w:tc>
          <w:tcPr>
            <w:tcW w:w="215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hint="default" w:ascii="Times New Roman" w:hAnsi="Times New Roman" w:cs="Times New Roman" w:eastAsiaTheme="minorHAnsi"/>
                <w:color w:val="000000"/>
                <w:sz w:val="22"/>
                <w:szCs w:val="22"/>
              </w:rPr>
            </w:pPr>
            <w:r>
              <w:rPr>
                <w:rFonts w:hint="default" w:ascii="Times New Roman" w:hAnsi="Times New Roman" w:cs="Times New Roman" w:eastAsiaTheme="minorHAnsi"/>
                <w:bCs/>
                <w:color w:val="000000"/>
                <w:sz w:val="22"/>
                <w:szCs w:val="22"/>
              </w:rPr>
              <w:t xml:space="preserve">Proposed Changes </w:t>
            </w:r>
          </w:p>
        </w:tc>
        <w:tc>
          <w:tcPr>
            <w:tcW w:w="19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hint="default" w:ascii="Times New Roman" w:hAnsi="Times New Roman" w:cs="Times New Roman" w:eastAsiaTheme="minorHAnsi"/>
                <w:color w:val="000000"/>
                <w:sz w:val="22"/>
                <w:szCs w:val="22"/>
              </w:rPr>
            </w:pPr>
            <w:r>
              <w:rPr>
                <w:rFonts w:hint="default" w:ascii="Times New Roman" w:hAnsi="Times New Roman" w:cs="Times New Roman" w:eastAsiaTheme="minorHAnsi"/>
                <w:bCs/>
                <w:color w:val="000000"/>
                <w:sz w:val="22"/>
                <w:szCs w:val="22"/>
              </w:rPr>
              <w:t xml:space="preserve">Rationale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66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hint="default" w:ascii="Times New Roman" w:hAnsi="Times New Roman" w:cs="Times New Roman" w:eastAsiaTheme="minorHAnsi"/>
                <w:bCs/>
                <w:color w:val="000000"/>
                <w:sz w:val="22"/>
                <w:szCs w:val="22"/>
              </w:rPr>
            </w:pPr>
          </w:p>
        </w:tc>
        <w:tc>
          <w:tcPr>
            <w:tcW w:w="260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hint="default" w:ascii="Times New Roman" w:hAnsi="Times New Roman" w:cs="Times New Roman" w:eastAsiaTheme="minorHAnsi"/>
                <w:bCs/>
                <w:color w:val="000000"/>
                <w:sz w:val="22"/>
                <w:szCs w:val="22"/>
              </w:rPr>
            </w:pPr>
          </w:p>
        </w:tc>
        <w:tc>
          <w:tcPr>
            <w:tcW w:w="2156"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hint="default" w:ascii="Times New Roman" w:hAnsi="Times New Roman" w:cs="Times New Roman" w:eastAsiaTheme="minorHAnsi"/>
                <w:bCs/>
                <w:color w:val="000000"/>
                <w:sz w:val="22"/>
                <w:szCs w:val="22"/>
              </w:rPr>
            </w:pPr>
          </w:p>
        </w:tc>
        <w:tc>
          <w:tcPr>
            <w:tcW w:w="194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hint="default" w:ascii="Times New Roman" w:hAnsi="Times New Roman" w:cs="Times New Roman" w:eastAsiaTheme="minorHAnsi"/>
                <w:bCs/>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9360" w:type="dxa"/>
            <w:gridSpan w:val="4"/>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center"/>
              <w:rPr>
                <w:rFonts w:hint="default" w:ascii="Times New Roman" w:hAnsi="Times New Roman" w:cs="Times New Roman" w:eastAsiaTheme="minorHAnsi"/>
                <w:bCs/>
                <w:color w:val="000000"/>
                <w:sz w:val="22"/>
                <w:szCs w:val="22"/>
              </w:rPr>
            </w:pPr>
            <w:r>
              <w:rPr>
                <w:rFonts w:hint="default" w:ascii="Times New Roman" w:hAnsi="Times New Roman" w:cs="Times New Roman" w:eastAsiaTheme="minorHAnsi"/>
                <w:b/>
                <w:sz w:val="22"/>
                <w:szCs w:val="22"/>
              </w:rPr>
              <w:t>Confidentiality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266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hint="default" w:ascii="Times New Roman" w:hAnsi="Times New Roman" w:cs="Times New Roman" w:eastAsiaTheme="minorHAnsi"/>
                <w:bCs/>
                <w:color w:val="000000"/>
                <w:sz w:val="22"/>
                <w:szCs w:val="22"/>
              </w:rPr>
            </w:pPr>
            <w:r>
              <w:rPr>
                <w:rFonts w:hint="default" w:ascii="Times New Roman" w:hAnsi="Times New Roman" w:cs="Times New Roman" w:eastAsiaTheme="minorHAnsi"/>
                <w:sz w:val="22"/>
                <w:szCs w:val="22"/>
              </w:rPr>
              <w:t>I wish to keep the following confidential:</w:t>
            </w:r>
          </w:p>
        </w:tc>
        <w:tc>
          <w:tcPr>
            <w:tcW w:w="6699" w:type="dxa"/>
            <w:gridSpan w:val="3"/>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hint="default" w:ascii="Times New Roman" w:hAnsi="Times New Roman" w:cs="Times New Roman" w:eastAsiaTheme="minorHAnsi"/>
                <w:bCs/>
                <w:color w:val="000000"/>
                <w:sz w:val="22"/>
                <w:szCs w:val="22"/>
              </w:rPr>
            </w:pPr>
            <w:r>
              <w:rPr>
                <w:rFonts w:hint="default" w:ascii="Times New Roman" w:hAnsi="Times New Roman" w:cs="Times New Roman" w:eastAsiaTheme="minorHAnsi"/>
                <w:i/>
                <w:sz w:val="22"/>
                <w:szCs w:val="22"/>
              </w:rPr>
              <w:t>(Please indicate any parts of your submission you would like to be kept confidential, or if you would like your identity to be kept confidential. Your contact information will not be published.)</w:t>
            </w:r>
          </w:p>
        </w:tc>
      </w:tr>
    </w:tbl>
    <w:p>
      <w:pPr>
        <w:spacing w:after="120" w:line="276" w:lineRule="auto"/>
        <w:ind w:right="-158"/>
        <w:rPr>
          <w:b/>
          <w:sz w:val="22"/>
          <w:szCs w:val="22"/>
        </w:rPr>
      </w:pPr>
    </w:p>
    <w:p>
      <w:pPr>
        <w:numPr>
          <w:ilvl w:val="0"/>
          <w:numId w:val="1"/>
        </w:numPr>
        <w:spacing w:after="120" w:line="276" w:lineRule="auto"/>
        <w:ind w:right="-158" w:hanging="4"/>
        <w:rPr>
          <w:rFonts w:hint="default" w:ascii="Times New Roman" w:hAnsi="Times New Roman" w:cs="Times New Roman"/>
          <w:b/>
          <w:sz w:val="26"/>
          <w:szCs w:val="26"/>
        </w:rPr>
      </w:pPr>
      <w:r>
        <w:rPr>
          <w:rFonts w:hint="default" w:ascii="Times New Roman" w:hAnsi="Times New Roman" w:cs="Times New Roman"/>
          <w:b/>
          <w:sz w:val="26"/>
          <w:szCs w:val="26"/>
        </w:rPr>
        <w:t>Timelines</w:t>
      </w:r>
    </w:p>
    <w:p>
      <w:pPr>
        <w:pStyle w:val="42"/>
        <w:tabs>
          <w:tab w:val="left" w:pos="450"/>
          <w:tab w:val="left" w:pos="9180"/>
        </w:tabs>
        <w:spacing w:after="120" w:line="276" w:lineRule="auto"/>
        <w:ind w:hanging="4"/>
        <w:jc w:val="both"/>
        <w:rPr>
          <w:rFonts w:hint="default" w:ascii="Times New Roman" w:hAnsi="Times New Roman" w:cs="Times New Roman"/>
          <w:sz w:val="22"/>
          <w:szCs w:val="22"/>
        </w:rPr>
      </w:pPr>
      <w:r>
        <w:rPr>
          <w:rFonts w:hint="default" w:ascii="Times New Roman" w:hAnsi="Times New Roman" w:cs="Times New Roman"/>
          <w:sz w:val="22"/>
          <w:szCs w:val="22"/>
        </w:rPr>
        <w:t xml:space="preserve">The process for introduction of regulatory amendments shall be concluded as per the following timelines. </w:t>
      </w:r>
    </w:p>
    <w:tbl>
      <w:tblPr>
        <w:tblStyle w:val="5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4495"/>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1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center"/>
              <w:rPr>
                <w:rFonts w:hint="default" w:ascii="Times New Roman" w:hAnsi="Times New Roman" w:cs="Times New Roman" w:eastAsiaTheme="minorHAnsi"/>
                <w:b/>
                <w:bCs/>
                <w:color w:val="000000"/>
                <w:sz w:val="22"/>
                <w:szCs w:val="22"/>
              </w:rPr>
            </w:pPr>
            <w:r>
              <w:rPr>
                <w:rFonts w:hint="default" w:ascii="Times New Roman" w:hAnsi="Times New Roman" w:cs="Times New Roman" w:eastAsiaTheme="minorHAnsi"/>
                <w:b/>
                <w:bCs/>
                <w:color w:val="000000"/>
                <w:sz w:val="22"/>
                <w:szCs w:val="22"/>
              </w:rPr>
              <w:t>Stage</w:t>
            </w:r>
          </w:p>
        </w:tc>
        <w:tc>
          <w:tcPr>
            <w:tcW w:w="44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center"/>
              <w:rPr>
                <w:rFonts w:hint="default" w:ascii="Times New Roman" w:hAnsi="Times New Roman" w:cs="Times New Roman" w:eastAsiaTheme="minorHAnsi"/>
                <w:b/>
                <w:color w:val="000000"/>
                <w:sz w:val="22"/>
                <w:szCs w:val="22"/>
              </w:rPr>
            </w:pPr>
            <w:r>
              <w:rPr>
                <w:rFonts w:hint="default" w:ascii="Times New Roman" w:hAnsi="Times New Roman" w:cs="Times New Roman" w:eastAsiaTheme="minorHAnsi"/>
                <w:b/>
                <w:color w:val="000000"/>
                <w:sz w:val="22"/>
                <w:szCs w:val="22"/>
              </w:rPr>
              <w:t>Date/Timeline</w:t>
            </w:r>
          </w:p>
        </w:tc>
        <w:tc>
          <w:tcPr>
            <w:tcW w:w="387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center"/>
              <w:rPr>
                <w:rFonts w:hint="default" w:ascii="Times New Roman" w:hAnsi="Times New Roman" w:cs="Times New Roman" w:eastAsiaTheme="minorHAnsi"/>
                <w:b/>
                <w:color w:val="000000"/>
                <w:sz w:val="22"/>
                <w:szCs w:val="22"/>
              </w:rPr>
            </w:pPr>
            <w:r>
              <w:rPr>
                <w:rFonts w:hint="default" w:ascii="Times New Roman" w:hAnsi="Times New Roman" w:cs="Times New Roman" w:eastAsiaTheme="minorHAnsi"/>
                <w:b/>
                <w:color w:val="000000"/>
                <w:sz w:val="22"/>
                <w:szCs w:val="22"/>
              </w:rPr>
              <w:t>Detail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1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jc w:val="center"/>
              <w:rPr>
                <w:rFonts w:hint="default" w:ascii="Times New Roman" w:hAnsi="Times New Roman" w:cs="Times New Roman" w:eastAsiaTheme="minorHAnsi"/>
                <w:color w:val="000000"/>
                <w:sz w:val="22"/>
                <w:szCs w:val="22"/>
              </w:rPr>
            </w:pPr>
            <w:r>
              <w:rPr>
                <w:rFonts w:hint="default" w:ascii="Times New Roman" w:hAnsi="Times New Roman" w:cs="Times New Roman" w:eastAsiaTheme="minorHAnsi"/>
                <w:color w:val="000000"/>
                <w:sz w:val="22"/>
                <w:szCs w:val="22"/>
              </w:rPr>
              <w:t>1</w:t>
            </w:r>
          </w:p>
        </w:tc>
        <w:tc>
          <w:tcPr>
            <w:tcW w:w="44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hint="default" w:ascii="Times New Roman" w:hAnsi="Times New Roman" w:cs="Times New Roman" w:eastAsiaTheme="minorHAnsi"/>
                <w:color w:val="000000"/>
                <w:sz w:val="22"/>
                <w:szCs w:val="22"/>
                <w:lang w:val="en-US"/>
              </w:rPr>
            </w:pPr>
            <w:r>
              <w:rPr>
                <w:rFonts w:hint="default" w:cs="Times New Roman" w:eastAsiaTheme="minorHAnsi"/>
                <w:color w:val="000000"/>
                <w:sz w:val="22"/>
                <w:szCs w:val="22"/>
                <w:highlight w:val="none"/>
                <w:lang w:val="en-US"/>
              </w:rPr>
              <w:t>December 02, 2022</w:t>
            </w:r>
          </w:p>
        </w:tc>
        <w:tc>
          <w:tcPr>
            <w:tcW w:w="387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hint="default" w:ascii="Times New Roman" w:hAnsi="Times New Roman" w:cs="Times New Roman" w:eastAsiaTheme="minorHAnsi"/>
                <w:color w:val="000000"/>
                <w:sz w:val="22"/>
                <w:szCs w:val="22"/>
              </w:rPr>
            </w:pPr>
            <w:r>
              <w:rPr>
                <w:rFonts w:hint="default" w:ascii="Times New Roman" w:hAnsi="Times New Roman" w:cs="Times New Roman" w:eastAsiaTheme="minorHAnsi"/>
                <w:color w:val="000000"/>
                <w:sz w:val="22"/>
                <w:szCs w:val="22"/>
              </w:rPr>
              <w:t>SECP releases Consultation Paper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81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ind w:left="-222" w:firstLine="222"/>
              <w:jc w:val="center"/>
              <w:rPr>
                <w:rFonts w:hint="default" w:ascii="Times New Roman" w:hAnsi="Times New Roman" w:cs="Times New Roman" w:eastAsiaTheme="minorHAnsi"/>
                <w:color w:val="000000"/>
                <w:sz w:val="22"/>
                <w:szCs w:val="22"/>
              </w:rPr>
            </w:pPr>
            <w:r>
              <w:rPr>
                <w:rFonts w:hint="default" w:ascii="Times New Roman" w:hAnsi="Times New Roman" w:cs="Times New Roman" w:eastAsiaTheme="minorHAnsi"/>
                <w:color w:val="000000"/>
                <w:sz w:val="22"/>
                <w:szCs w:val="22"/>
              </w:rPr>
              <w:t>2</w:t>
            </w:r>
          </w:p>
        </w:tc>
        <w:tc>
          <w:tcPr>
            <w:tcW w:w="4495"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hint="default" w:ascii="Times New Roman" w:hAnsi="Times New Roman" w:cs="Times New Roman" w:eastAsiaTheme="minorHAnsi"/>
                <w:color w:val="000000"/>
                <w:sz w:val="22"/>
                <w:szCs w:val="22"/>
              </w:rPr>
            </w:pPr>
            <w:r>
              <w:rPr>
                <w:rFonts w:hint="default" w:ascii="Times New Roman" w:hAnsi="Times New Roman" w:cs="Times New Roman" w:eastAsiaTheme="minorHAnsi"/>
                <w:color w:val="000000"/>
                <w:sz w:val="22"/>
                <w:szCs w:val="22"/>
              </w:rPr>
              <w:t>(Within 1</w:t>
            </w:r>
            <w:r>
              <w:rPr>
                <w:rFonts w:hint="default" w:cs="Times New Roman" w:eastAsiaTheme="minorHAnsi"/>
                <w:color w:val="000000"/>
                <w:sz w:val="22"/>
                <w:szCs w:val="22"/>
                <w:lang w:val="en-US"/>
              </w:rPr>
              <w:t>4</w:t>
            </w:r>
            <w:bookmarkStart w:id="0" w:name="_GoBack"/>
            <w:bookmarkEnd w:id="0"/>
            <w:r>
              <w:rPr>
                <w:rFonts w:hint="default" w:ascii="Times New Roman" w:hAnsi="Times New Roman" w:cs="Times New Roman" w:eastAsiaTheme="minorHAnsi"/>
                <w:color w:val="000000"/>
                <w:sz w:val="22"/>
                <w:szCs w:val="22"/>
              </w:rPr>
              <w:t xml:space="preserve"> days of issuance of CP)</w:t>
            </w:r>
          </w:p>
        </w:tc>
        <w:tc>
          <w:tcPr>
            <w:tcW w:w="3870"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276" w:lineRule="auto"/>
              <w:rPr>
                <w:rFonts w:hint="default" w:ascii="Times New Roman" w:hAnsi="Times New Roman" w:cs="Times New Roman" w:eastAsiaTheme="minorHAnsi"/>
                <w:color w:val="000000"/>
                <w:sz w:val="22"/>
                <w:szCs w:val="22"/>
              </w:rPr>
            </w:pPr>
            <w:r>
              <w:rPr>
                <w:rFonts w:hint="default" w:cs="Times New Roman" w:eastAsiaTheme="minorHAnsi"/>
                <w:color w:val="000000"/>
                <w:sz w:val="22"/>
                <w:szCs w:val="22"/>
                <w:lang w:val="en-US"/>
              </w:rPr>
              <w:t>Deadline for submission of c</w:t>
            </w:r>
            <w:r>
              <w:rPr>
                <w:rFonts w:hint="default" w:ascii="Times New Roman" w:hAnsi="Times New Roman" w:cs="Times New Roman" w:eastAsiaTheme="minorHAnsi"/>
                <w:color w:val="000000"/>
                <w:sz w:val="22"/>
                <w:szCs w:val="22"/>
              </w:rPr>
              <w:t xml:space="preserve">omments on Consultation Paper </w:t>
            </w:r>
          </w:p>
        </w:tc>
      </w:tr>
    </w:tbl>
    <w:p>
      <w:pPr>
        <w:pStyle w:val="42"/>
        <w:tabs>
          <w:tab w:val="left" w:pos="450"/>
          <w:tab w:val="left" w:pos="9180"/>
        </w:tabs>
        <w:spacing w:after="0" w:line="276" w:lineRule="auto"/>
        <w:ind w:hanging="4"/>
        <w:jc w:val="both"/>
        <w:rPr>
          <w:rFonts w:hint="default" w:ascii="Times New Roman" w:hAnsi="Times New Roman" w:cs="Times New Roman"/>
          <w:sz w:val="22"/>
          <w:szCs w:val="22"/>
          <w:lang w:val="en-US"/>
        </w:rPr>
      </w:pPr>
    </w:p>
    <w:p>
      <w:pPr>
        <w:pStyle w:val="42"/>
        <w:tabs>
          <w:tab w:val="left" w:pos="450"/>
          <w:tab w:val="left" w:pos="9180"/>
        </w:tabs>
        <w:spacing w:after="0" w:line="276" w:lineRule="auto"/>
        <w:ind w:hanging="4"/>
        <w:jc w:val="both"/>
        <w:rPr>
          <w:rFonts w:hint="default" w:ascii="Times New Roman" w:hAnsi="Times New Roman" w:cs="Times New Roman"/>
          <w:sz w:val="22"/>
          <w:szCs w:val="22"/>
          <w:lang w:val="en-US"/>
        </w:rPr>
      </w:pPr>
      <w:r>
        <w:rPr>
          <w:rFonts w:hint="default" w:ascii="Times New Roman" w:hAnsi="Times New Roman" w:cs="Times New Roman"/>
          <w:sz w:val="22"/>
          <w:szCs w:val="22"/>
          <w:lang w:val="en-US"/>
        </w:rPr>
        <w:t xml:space="preserve">                                __________________________________________________________</w:t>
      </w:r>
    </w:p>
    <w:sectPr>
      <w:headerReference r:id="rId5" w:type="first"/>
      <w:headerReference r:id="rId3" w:type="default"/>
      <w:footerReference r:id="rId6" w:type="default"/>
      <w:headerReference r:id="rId4" w:type="even"/>
      <w:type w:val="continuous"/>
      <w:pgSz w:w="12240" w:h="15840"/>
      <w:pgMar w:top="1728" w:right="1296" w:bottom="1620" w:left="1296" w:header="720" w:footer="440" w:gutter="0"/>
      <w:pgBorders>
        <w:top w:val="single" w:color="auto" w:sz="12" w:space="1"/>
        <w:left w:val="single" w:color="auto" w:sz="12" w:space="4"/>
        <w:bottom w:val="single" w:color="auto" w:sz="12" w:space="1"/>
        <w:right w:val="single" w:color="auto" w:sz="12" w:space="4"/>
      </w:pgBorders>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Arial Black">
    <w:panose1 w:val="020B0A04020102020204"/>
    <w:charset w:val="00"/>
    <w:family w:val="swiss"/>
    <w:pitch w:val="default"/>
    <w:sig w:usb0="A00002AF" w:usb1="400078FB" w:usb2="00000000" w:usb3="00000000" w:csb0="6000009F" w:csb1="DFD70000"/>
  </w:font>
  <w:font w:name="Times-Roman">
    <w:altName w:val="Times New Roman"/>
    <w:panose1 w:val="00000000000000000000"/>
    <w:charset w:val="00"/>
    <w:family w:val="roman"/>
    <w:pitch w:val="default"/>
    <w:sig w:usb0="00000000" w:usb1="00000000" w:usb2="00000000" w:usb3="00000000" w:csb0="00000000" w:csb1="00000000"/>
  </w:font>
  <w:font w:name="Myriad Pro">
    <w:altName w:val="Corbel"/>
    <w:panose1 w:val="00000000000000000000"/>
    <w:charset w:val="00"/>
    <w:family w:val="swiss"/>
    <w:pitch w:val="default"/>
    <w:sig w:usb0="00000000" w:usb1="00000000" w:usb2="00000000" w:usb3="00000000" w:csb0="0000019F" w:csb1="0000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9710916"/>
    </w:sdtPr>
    <w:sdtContent>
      <w:sdt>
        <w:sdtPr>
          <w:id w:val="-1769616900"/>
        </w:sdtPr>
        <w:sdtContent>
          <w:p>
            <w:pPr>
              <w:pStyle w:val="17"/>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sdtContent>
      </w:sdt>
    </w:sdtContent>
  </w:sdt>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b/>
        <w:sz w:val="26"/>
        <w:szCs w:val="26"/>
      </w:rPr>
    </w:pPr>
    <w:r>
      <w:rPr>
        <w:rFonts w:ascii="Myriad Pro" w:hAnsi="Myriad Pro" w:cs="Calibri"/>
        <w:b/>
        <w:color w:val="116C65"/>
        <w:sz w:val="26"/>
        <w:szCs w:val="26"/>
      </w:rPr>
      <w:drawing>
        <wp:anchor distT="0" distB="0" distL="114300" distR="114300" simplePos="0" relativeHeight="251661312" behindDoc="1" locked="0" layoutInCell="1" allowOverlap="1">
          <wp:simplePos x="0" y="0"/>
          <wp:positionH relativeFrom="column">
            <wp:posOffset>570865</wp:posOffset>
          </wp:positionH>
          <wp:positionV relativeFrom="paragraph">
            <wp:posOffset>-44450</wp:posOffset>
          </wp:positionV>
          <wp:extent cx="650875" cy="707390"/>
          <wp:effectExtent l="0" t="0" r="4445" b="8890"/>
          <wp:wrapNone/>
          <wp:docPr id="12" name="Picture 12" descr="C:\Users\abdul.qadir\Desktop\Things\final_secp_original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abdul.qadir\Desktop\Things\final_secp_original_logo.jpg"/>
                  <pic:cNvPicPr>
                    <a:picLocks noChangeAspect="1" noChangeArrowheads="1"/>
                  </pic:cNvPicPr>
                </pic:nvPicPr>
                <pic:blipFill>
                  <a:blip r:embed="rId1" cstate="print">
                    <a:lum contrast="10000"/>
                  </a:blip>
                  <a:stretch>
                    <a:fillRect/>
                  </a:stretch>
                </pic:blipFill>
                <pic:spPr>
                  <a:xfrm>
                    <a:off x="0" y="0"/>
                    <a:ext cx="650875" cy="707390"/>
                  </a:xfrm>
                  <a:prstGeom prst="rect">
                    <a:avLst/>
                  </a:prstGeom>
                  <a:noFill/>
                  <a:ln>
                    <a:noFill/>
                  </a:ln>
                </pic:spPr>
              </pic:pic>
            </a:graphicData>
          </a:graphic>
        </wp:anchor>
      </w:drawing>
    </w:r>
    <w:r>
      <w:rPr>
        <w:rFonts w:ascii="Myriad Pro" w:hAnsi="Myriad Pro" w:cs="Calibri"/>
        <w:b/>
        <w:color w:val="116C65"/>
        <w:sz w:val="26"/>
        <w:szCs w:val="26"/>
      </w:rPr>
      <w:t xml:space="preserve">Securities and Exchange Commission of Pakistan </w:t>
    </w:r>
  </w:p>
  <w:p>
    <w:pPr>
      <w:jc w:val="center"/>
      <w:rPr>
        <w:rFonts w:ascii="Myriad Pro" w:hAnsi="Myriad Pro"/>
        <w:b/>
        <w:sz w:val="26"/>
        <w:szCs w:val="26"/>
      </w:rPr>
    </w:pPr>
    <w:r>
      <w:rPr>
        <w:rFonts w:ascii="Myriad Pro" w:hAnsi="Myriad Pro"/>
        <w:b/>
        <w:sz w:val="26"/>
        <w:szCs w:val="26"/>
      </w:rPr>
      <w:t>Securities Market Division</w:t>
    </w:r>
  </w:p>
  <w:p>
    <w:pPr>
      <w:jc w:val="center"/>
      <w:rPr>
        <w:sz w:val="26"/>
        <w:szCs w:val="26"/>
      </w:rPr>
    </w:pPr>
    <w:r>
      <w:rPr>
        <w:rFonts w:ascii="Myriad Pro" w:hAnsi="Myriad Pro"/>
        <w:b/>
        <w:sz w:val="26"/>
        <w:szCs w:val="26"/>
      </w:rPr>
      <w:t>Policy, Regulation and Development Department</w:t>
    </w:r>
    <w:r>
      <w:rPr>
        <w:bCs/>
        <w:i/>
        <w:iCs/>
        <w:sz w:val="26"/>
        <w:szCs w:val="26"/>
      </w:rPr>
      <w:t xml:space="preserve"> </w:t>
    </w:r>
  </w:p>
  <w:p>
    <w:pPr>
      <w:pStyle w:val="20"/>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PowerPlusWaterMarkObject20991807" o:spid="_x0000_s4098" o:spt="136" type="#_x0000_t136" style="position:absolute;left:0pt;height:194.3pt;width:485.8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DRAFT" style="font-family:Times New Roman;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PowerPlusWaterMarkObject20991806" o:spid="_x0000_s4097" o:spt="136" type="#_x0000_t136" style="position:absolute;left:0pt;height:194.3pt;width:485.8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DRAFT" style="font-family:Times New Roman;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EAC8F"/>
    <w:multiLevelType w:val="multilevel"/>
    <w:tmpl w:val="D30EAC8F"/>
    <w:lvl w:ilvl="0" w:tentative="0">
      <w:start w:val="1"/>
      <w:numFmt w:val="lowerRoman"/>
      <w:lvlText w:val="%1."/>
      <w:lvlJc w:val="left"/>
      <w:pPr>
        <w:tabs>
          <w:tab w:val="left" w:pos="425"/>
        </w:tabs>
        <w:ind w:left="425" w:hanging="425"/>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1">
    <w:nsid w:val="1393A468"/>
    <w:multiLevelType w:val="singleLevel"/>
    <w:tmpl w:val="1393A468"/>
    <w:lvl w:ilvl="0" w:tentative="0">
      <w:start w:val="1"/>
      <w:numFmt w:val="lowerLetter"/>
      <w:lvlText w:val="%1."/>
      <w:lvlJc w:val="left"/>
      <w:pPr>
        <w:tabs>
          <w:tab w:val="left" w:pos="425"/>
        </w:tabs>
        <w:ind w:left="425" w:hanging="425"/>
      </w:pPr>
      <w:rPr>
        <w:rFonts w:hint="default"/>
        <w:b w:val="0"/>
        <w:bCs w:val="0"/>
        <w:sz w:val="22"/>
        <w:szCs w:val="22"/>
      </w:rPr>
    </w:lvl>
  </w:abstractNum>
  <w:abstractNum w:abstractNumId="2">
    <w:nsid w:val="435F02AD"/>
    <w:multiLevelType w:val="singleLevel"/>
    <w:tmpl w:val="435F02AD"/>
    <w:lvl w:ilvl="0" w:tentative="0">
      <w:start w:val="1"/>
      <w:numFmt w:val="decimal"/>
      <w:suff w:val="space"/>
      <w:lvlText w:val="%1."/>
      <w:lvlJc w:val="left"/>
      <w:rPr>
        <w:rFonts w:hint="default"/>
        <w:b/>
        <w:bCs/>
        <w:sz w:val="26"/>
        <w:szCs w:val="26"/>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rawingGridVerticalSpacing w:val="299"/>
  <w:noPunctuationKerning w:val="1"/>
  <w:characterSpacingControl w:val="doNotCompress"/>
  <w:hdrShapeDefaults>
    <o:shapelayout v:ext="edit">
      <o:idmap v:ext="edit" data="3,4"/>
    </o:shapelayout>
  </w:hdrShapeDefault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896"/>
    <w:rsid w:val="00001224"/>
    <w:rsid w:val="00001310"/>
    <w:rsid w:val="00004733"/>
    <w:rsid w:val="00004E22"/>
    <w:rsid w:val="00005F2D"/>
    <w:rsid w:val="0000674B"/>
    <w:rsid w:val="00013E15"/>
    <w:rsid w:val="000140DC"/>
    <w:rsid w:val="00017591"/>
    <w:rsid w:val="000175F6"/>
    <w:rsid w:val="0002291F"/>
    <w:rsid w:val="00022F57"/>
    <w:rsid w:val="000260E1"/>
    <w:rsid w:val="00026D46"/>
    <w:rsid w:val="0002781B"/>
    <w:rsid w:val="0003197C"/>
    <w:rsid w:val="00034609"/>
    <w:rsid w:val="00036131"/>
    <w:rsid w:val="00037714"/>
    <w:rsid w:val="00041789"/>
    <w:rsid w:val="00042832"/>
    <w:rsid w:val="00042D66"/>
    <w:rsid w:val="00043809"/>
    <w:rsid w:val="0004548E"/>
    <w:rsid w:val="00045AFD"/>
    <w:rsid w:val="000478FF"/>
    <w:rsid w:val="000518E8"/>
    <w:rsid w:val="000519F8"/>
    <w:rsid w:val="00056D46"/>
    <w:rsid w:val="000631CF"/>
    <w:rsid w:val="000717AA"/>
    <w:rsid w:val="00074ED9"/>
    <w:rsid w:val="0007541C"/>
    <w:rsid w:val="0007590F"/>
    <w:rsid w:val="00075BBB"/>
    <w:rsid w:val="00077F1B"/>
    <w:rsid w:val="000817D9"/>
    <w:rsid w:val="00082B78"/>
    <w:rsid w:val="0008648A"/>
    <w:rsid w:val="00092896"/>
    <w:rsid w:val="00094EB4"/>
    <w:rsid w:val="000953EC"/>
    <w:rsid w:val="00097A39"/>
    <w:rsid w:val="000A0721"/>
    <w:rsid w:val="000A3B73"/>
    <w:rsid w:val="000A4273"/>
    <w:rsid w:val="000A7108"/>
    <w:rsid w:val="000B1484"/>
    <w:rsid w:val="000B1A47"/>
    <w:rsid w:val="000B3FC9"/>
    <w:rsid w:val="000B7B2B"/>
    <w:rsid w:val="000C507F"/>
    <w:rsid w:val="000D01A4"/>
    <w:rsid w:val="000D0596"/>
    <w:rsid w:val="000D1065"/>
    <w:rsid w:val="000D1E3A"/>
    <w:rsid w:val="000D3B43"/>
    <w:rsid w:val="000D68D5"/>
    <w:rsid w:val="000E2F2A"/>
    <w:rsid w:val="000E47EB"/>
    <w:rsid w:val="000E4919"/>
    <w:rsid w:val="000E68DB"/>
    <w:rsid w:val="000F04F0"/>
    <w:rsid w:val="000F0F25"/>
    <w:rsid w:val="000F69CF"/>
    <w:rsid w:val="00101749"/>
    <w:rsid w:val="00102605"/>
    <w:rsid w:val="001058FF"/>
    <w:rsid w:val="00107CE5"/>
    <w:rsid w:val="00110C60"/>
    <w:rsid w:val="001118C7"/>
    <w:rsid w:val="00112F6A"/>
    <w:rsid w:val="00113809"/>
    <w:rsid w:val="00115D01"/>
    <w:rsid w:val="001206B1"/>
    <w:rsid w:val="001224B3"/>
    <w:rsid w:val="00122980"/>
    <w:rsid w:val="00122DA2"/>
    <w:rsid w:val="0012357A"/>
    <w:rsid w:val="00127622"/>
    <w:rsid w:val="00127C2F"/>
    <w:rsid w:val="00131032"/>
    <w:rsid w:val="00133FEF"/>
    <w:rsid w:val="0013413B"/>
    <w:rsid w:val="00142F0A"/>
    <w:rsid w:val="00144684"/>
    <w:rsid w:val="001462D8"/>
    <w:rsid w:val="00152398"/>
    <w:rsid w:val="00152ABD"/>
    <w:rsid w:val="00153D55"/>
    <w:rsid w:val="00155390"/>
    <w:rsid w:val="0015556C"/>
    <w:rsid w:val="00156410"/>
    <w:rsid w:val="00156C92"/>
    <w:rsid w:val="00160E9C"/>
    <w:rsid w:val="00161BB2"/>
    <w:rsid w:val="001631BB"/>
    <w:rsid w:val="00165BB4"/>
    <w:rsid w:val="00166F07"/>
    <w:rsid w:val="001702A2"/>
    <w:rsid w:val="00171EB7"/>
    <w:rsid w:val="001744FF"/>
    <w:rsid w:val="0018111D"/>
    <w:rsid w:val="00181D84"/>
    <w:rsid w:val="00182CD9"/>
    <w:rsid w:val="001918FF"/>
    <w:rsid w:val="00191B69"/>
    <w:rsid w:val="001A52AE"/>
    <w:rsid w:val="001A6124"/>
    <w:rsid w:val="001A6326"/>
    <w:rsid w:val="001B1B5C"/>
    <w:rsid w:val="001B42A8"/>
    <w:rsid w:val="001B5FB9"/>
    <w:rsid w:val="001C0EAC"/>
    <w:rsid w:val="001C13AF"/>
    <w:rsid w:val="001C2577"/>
    <w:rsid w:val="001C39B4"/>
    <w:rsid w:val="001C41BA"/>
    <w:rsid w:val="001C5316"/>
    <w:rsid w:val="001D1064"/>
    <w:rsid w:val="001D52CA"/>
    <w:rsid w:val="001E0ECE"/>
    <w:rsid w:val="001E5949"/>
    <w:rsid w:val="001E760F"/>
    <w:rsid w:val="001F1DCD"/>
    <w:rsid w:val="001F1F3E"/>
    <w:rsid w:val="001F3229"/>
    <w:rsid w:val="001F33CA"/>
    <w:rsid w:val="001F3461"/>
    <w:rsid w:val="001F5C6E"/>
    <w:rsid w:val="002010F9"/>
    <w:rsid w:val="002030A0"/>
    <w:rsid w:val="00204940"/>
    <w:rsid w:val="00205101"/>
    <w:rsid w:val="002059D9"/>
    <w:rsid w:val="00205A84"/>
    <w:rsid w:val="00205D64"/>
    <w:rsid w:val="002242F1"/>
    <w:rsid w:val="00224504"/>
    <w:rsid w:val="00232273"/>
    <w:rsid w:val="00233852"/>
    <w:rsid w:val="00243A7B"/>
    <w:rsid w:val="00247A49"/>
    <w:rsid w:val="0025104B"/>
    <w:rsid w:val="00257F17"/>
    <w:rsid w:val="00261124"/>
    <w:rsid w:val="0026480B"/>
    <w:rsid w:val="00266423"/>
    <w:rsid w:val="002804BB"/>
    <w:rsid w:val="00284E29"/>
    <w:rsid w:val="002869FE"/>
    <w:rsid w:val="00286CC8"/>
    <w:rsid w:val="00287F62"/>
    <w:rsid w:val="0029007C"/>
    <w:rsid w:val="00296060"/>
    <w:rsid w:val="00297514"/>
    <w:rsid w:val="002A12A1"/>
    <w:rsid w:val="002A4266"/>
    <w:rsid w:val="002A4B07"/>
    <w:rsid w:val="002A7737"/>
    <w:rsid w:val="002B0496"/>
    <w:rsid w:val="002B0ED4"/>
    <w:rsid w:val="002B12FE"/>
    <w:rsid w:val="002B1415"/>
    <w:rsid w:val="002B180A"/>
    <w:rsid w:val="002B7AD9"/>
    <w:rsid w:val="002B7B61"/>
    <w:rsid w:val="002C26DE"/>
    <w:rsid w:val="002C6F2C"/>
    <w:rsid w:val="002D02EC"/>
    <w:rsid w:val="002D1D72"/>
    <w:rsid w:val="002D3167"/>
    <w:rsid w:val="002D6655"/>
    <w:rsid w:val="002D7255"/>
    <w:rsid w:val="002D77A1"/>
    <w:rsid w:val="002D79F1"/>
    <w:rsid w:val="002E0382"/>
    <w:rsid w:val="002E12D0"/>
    <w:rsid w:val="002E472C"/>
    <w:rsid w:val="002F1AF5"/>
    <w:rsid w:val="002F1F08"/>
    <w:rsid w:val="002F27CA"/>
    <w:rsid w:val="002F4A68"/>
    <w:rsid w:val="002F697C"/>
    <w:rsid w:val="002F725F"/>
    <w:rsid w:val="00300F31"/>
    <w:rsid w:val="003030C5"/>
    <w:rsid w:val="00305289"/>
    <w:rsid w:val="00305BA8"/>
    <w:rsid w:val="003062B0"/>
    <w:rsid w:val="00307DE5"/>
    <w:rsid w:val="00310CBC"/>
    <w:rsid w:val="003129CD"/>
    <w:rsid w:val="00316394"/>
    <w:rsid w:val="00317FBC"/>
    <w:rsid w:val="0032235D"/>
    <w:rsid w:val="00323C92"/>
    <w:rsid w:val="00324DA7"/>
    <w:rsid w:val="00333169"/>
    <w:rsid w:val="003336C5"/>
    <w:rsid w:val="00337BCC"/>
    <w:rsid w:val="00337C04"/>
    <w:rsid w:val="003425E3"/>
    <w:rsid w:val="003430D5"/>
    <w:rsid w:val="00346E9F"/>
    <w:rsid w:val="00347070"/>
    <w:rsid w:val="00347487"/>
    <w:rsid w:val="003536E9"/>
    <w:rsid w:val="0035559C"/>
    <w:rsid w:val="00355F99"/>
    <w:rsid w:val="00360AF8"/>
    <w:rsid w:val="00360DD3"/>
    <w:rsid w:val="00363975"/>
    <w:rsid w:val="00365431"/>
    <w:rsid w:val="00367A2A"/>
    <w:rsid w:val="0037029D"/>
    <w:rsid w:val="0037329D"/>
    <w:rsid w:val="0037336B"/>
    <w:rsid w:val="0037369D"/>
    <w:rsid w:val="00385D5E"/>
    <w:rsid w:val="00385E57"/>
    <w:rsid w:val="00387DA6"/>
    <w:rsid w:val="003905B1"/>
    <w:rsid w:val="0039418C"/>
    <w:rsid w:val="0039490E"/>
    <w:rsid w:val="00395162"/>
    <w:rsid w:val="003A2B3C"/>
    <w:rsid w:val="003A397B"/>
    <w:rsid w:val="003A6ECB"/>
    <w:rsid w:val="003B0AE5"/>
    <w:rsid w:val="003B1647"/>
    <w:rsid w:val="003C2260"/>
    <w:rsid w:val="003C5BF9"/>
    <w:rsid w:val="003D1CA1"/>
    <w:rsid w:val="003D2007"/>
    <w:rsid w:val="003D2A71"/>
    <w:rsid w:val="003D34FD"/>
    <w:rsid w:val="003D5F4D"/>
    <w:rsid w:val="003E0B60"/>
    <w:rsid w:val="003E6447"/>
    <w:rsid w:val="003E64EC"/>
    <w:rsid w:val="003E793E"/>
    <w:rsid w:val="003F3716"/>
    <w:rsid w:val="003F48EA"/>
    <w:rsid w:val="003F5B07"/>
    <w:rsid w:val="00400288"/>
    <w:rsid w:val="004008F3"/>
    <w:rsid w:val="004015BB"/>
    <w:rsid w:val="0040210C"/>
    <w:rsid w:val="004036AF"/>
    <w:rsid w:val="00406E07"/>
    <w:rsid w:val="00407609"/>
    <w:rsid w:val="00410A81"/>
    <w:rsid w:val="00411395"/>
    <w:rsid w:val="0041196E"/>
    <w:rsid w:val="0041270A"/>
    <w:rsid w:val="004130D5"/>
    <w:rsid w:val="0041391F"/>
    <w:rsid w:val="00422E9E"/>
    <w:rsid w:val="0042384F"/>
    <w:rsid w:val="0042728D"/>
    <w:rsid w:val="00437D8C"/>
    <w:rsid w:val="004421E7"/>
    <w:rsid w:val="00443913"/>
    <w:rsid w:val="00445193"/>
    <w:rsid w:val="00450DCC"/>
    <w:rsid w:val="00451122"/>
    <w:rsid w:val="004533FE"/>
    <w:rsid w:val="00455083"/>
    <w:rsid w:val="00461A01"/>
    <w:rsid w:val="0046227A"/>
    <w:rsid w:val="00462779"/>
    <w:rsid w:val="00463D16"/>
    <w:rsid w:val="00463DE0"/>
    <w:rsid w:val="004649E1"/>
    <w:rsid w:val="004664E3"/>
    <w:rsid w:val="00467535"/>
    <w:rsid w:val="00471D28"/>
    <w:rsid w:val="00472074"/>
    <w:rsid w:val="00474158"/>
    <w:rsid w:val="0047651F"/>
    <w:rsid w:val="00477881"/>
    <w:rsid w:val="00481F7B"/>
    <w:rsid w:val="00486877"/>
    <w:rsid w:val="00494424"/>
    <w:rsid w:val="004967A1"/>
    <w:rsid w:val="004A0177"/>
    <w:rsid w:val="004A05BD"/>
    <w:rsid w:val="004A0645"/>
    <w:rsid w:val="004A1163"/>
    <w:rsid w:val="004A28D6"/>
    <w:rsid w:val="004A2DAD"/>
    <w:rsid w:val="004A2E13"/>
    <w:rsid w:val="004A514D"/>
    <w:rsid w:val="004A663D"/>
    <w:rsid w:val="004A78EA"/>
    <w:rsid w:val="004B21EA"/>
    <w:rsid w:val="004B39F3"/>
    <w:rsid w:val="004B3A98"/>
    <w:rsid w:val="004B52DA"/>
    <w:rsid w:val="004C7384"/>
    <w:rsid w:val="004C75F0"/>
    <w:rsid w:val="004D021D"/>
    <w:rsid w:val="004D2537"/>
    <w:rsid w:val="004D2EDD"/>
    <w:rsid w:val="004D6799"/>
    <w:rsid w:val="004D6863"/>
    <w:rsid w:val="004D7B5B"/>
    <w:rsid w:val="004E04B3"/>
    <w:rsid w:val="004E260D"/>
    <w:rsid w:val="004E511F"/>
    <w:rsid w:val="004F0290"/>
    <w:rsid w:val="004F21FF"/>
    <w:rsid w:val="004F38EA"/>
    <w:rsid w:val="004F6691"/>
    <w:rsid w:val="004F7475"/>
    <w:rsid w:val="00504862"/>
    <w:rsid w:val="0051415B"/>
    <w:rsid w:val="00515DD3"/>
    <w:rsid w:val="005164B6"/>
    <w:rsid w:val="00516996"/>
    <w:rsid w:val="005214EF"/>
    <w:rsid w:val="00522AE3"/>
    <w:rsid w:val="005235AE"/>
    <w:rsid w:val="005240AB"/>
    <w:rsid w:val="005255A1"/>
    <w:rsid w:val="005263BF"/>
    <w:rsid w:val="00530598"/>
    <w:rsid w:val="0053174D"/>
    <w:rsid w:val="0053353D"/>
    <w:rsid w:val="00534B8C"/>
    <w:rsid w:val="0055274C"/>
    <w:rsid w:val="00553935"/>
    <w:rsid w:val="00556A3B"/>
    <w:rsid w:val="005609F7"/>
    <w:rsid w:val="00561C96"/>
    <w:rsid w:val="00563A0E"/>
    <w:rsid w:val="00564CEA"/>
    <w:rsid w:val="00566DEE"/>
    <w:rsid w:val="00567A29"/>
    <w:rsid w:val="0057355F"/>
    <w:rsid w:val="00573EDE"/>
    <w:rsid w:val="00576450"/>
    <w:rsid w:val="0057676F"/>
    <w:rsid w:val="00576A6C"/>
    <w:rsid w:val="00576E05"/>
    <w:rsid w:val="005824C7"/>
    <w:rsid w:val="0058317D"/>
    <w:rsid w:val="00587A11"/>
    <w:rsid w:val="00592C58"/>
    <w:rsid w:val="00596F4D"/>
    <w:rsid w:val="00596F89"/>
    <w:rsid w:val="0059710B"/>
    <w:rsid w:val="0059794A"/>
    <w:rsid w:val="005A3E90"/>
    <w:rsid w:val="005A49D3"/>
    <w:rsid w:val="005A5EC1"/>
    <w:rsid w:val="005A6EF3"/>
    <w:rsid w:val="005A747F"/>
    <w:rsid w:val="005A7715"/>
    <w:rsid w:val="005A7C07"/>
    <w:rsid w:val="005B06BC"/>
    <w:rsid w:val="005B63F5"/>
    <w:rsid w:val="005B63F7"/>
    <w:rsid w:val="005B693D"/>
    <w:rsid w:val="005C0F1A"/>
    <w:rsid w:val="005C1A4C"/>
    <w:rsid w:val="005C22AD"/>
    <w:rsid w:val="005C271F"/>
    <w:rsid w:val="005C5F60"/>
    <w:rsid w:val="005D2BE6"/>
    <w:rsid w:val="005D7B0D"/>
    <w:rsid w:val="005E2617"/>
    <w:rsid w:val="005E5BE7"/>
    <w:rsid w:val="005E639D"/>
    <w:rsid w:val="005E73F2"/>
    <w:rsid w:val="005E7950"/>
    <w:rsid w:val="005F14CA"/>
    <w:rsid w:val="005F38A1"/>
    <w:rsid w:val="005F64EC"/>
    <w:rsid w:val="005F67D4"/>
    <w:rsid w:val="005F75C6"/>
    <w:rsid w:val="0060322E"/>
    <w:rsid w:val="006038C1"/>
    <w:rsid w:val="00603E2E"/>
    <w:rsid w:val="006131A7"/>
    <w:rsid w:val="00623157"/>
    <w:rsid w:val="0062329B"/>
    <w:rsid w:val="006255CD"/>
    <w:rsid w:val="00626373"/>
    <w:rsid w:val="00627334"/>
    <w:rsid w:val="00634BF8"/>
    <w:rsid w:val="006355D7"/>
    <w:rsid w:val="0063596C"/>
    <w:rsid w:val="006375C7"/>
    <w:rsid w:val="00641517"/>
    <w:rsid w:val="006465A3"/>
    <w:rsid w:val="006479D3"/>
    <w:rsid w:val="00647B99"/>
    <w:rsid w:val="00652194"/>
    <w:rsid w:val="00655B0C"/>
    <w:rsid w:val="00656252"/>
    <w:rsid w:val="00656314"/>
    <w:rsid w:val="0066347C"/>
    <w:rsid w:val="00665117"/>
    <w:rsid w:val="00670AB0"/>
    <w:rsid w:val="00671920"/>
    <w:rsid w:val="0067314B"/>
    <w:rsid w:val="00673CBD"/>
    <w:rsid w:val="006752B8"/>
    <w:rsid w:val="0067669E"/>
    <w:rsid w:val="00676772"/>
    <w:rsid w:val="006772C2"/>
    <w:rsid w:val="006779F6"/>
    <w:rsid w:val="0068701A"/>
    <w:rsid w:val="00692AB2"/>
    <w:rsid w:val="00693CB4"/>
    <w:rsid w:val="00694924"/>
    <w:rsid w:val="00694C76"/>
    <w:rsid w:val="0069753E"/>
    <w:rsid w:val="006A03C7"/>
    <w:rsid w:val="006A5CB7"/>
    <w:rsid w:val="006A62DA"/>
    <w:rsid w:val="006A7EFF"/>
    <w:rsid w:val="006B10CC"/>
    <w:rsid w:val="006B1559"/>
    <w:rsid w:val="006B1A89"/>
    <w:rsid w:val="006B3BD0"/>
    <w:rsid w:val="006B4E45"/>
    <w:rsid w:val="006B4F0C"/>
    <w:rsid w:val="006B5B55"/>
    <w:rsid w:val="006C3140"/>
    <w:rsid w:val="006C5A33"/>
    <w:rsid w:val="006C5BAC"/>
    <w:rsid w:val="006C64EC"/>
    <w:rsid w:val="006C6918"/>
    <w:rsid w:val="006D371B"/>
    <w:rsid w:val="006D4692"/>
    <w:rsid w:val="006D4EA8"/>
    <w:rsid w:val="006D6B44"/>
    <w:rsid w:val="006E00CD"/>
    <w:rsid w:val="006E1F5B"/>
    <w:rsid w:val="006E5500"/>
    <w:rsid w:val="006E65BB"/>
    <w:rsid w:val="006E6EB6"/>
    <w:rsid w:val="006F0545"/>
    <w:rsid w:val="006F26B6"/>
    <w:rsid w:val="006F2F4A"/>
    <w:rsid w:val="006F33E8"/>
    <w:rsid w:val="00701611"/>
    <w:rsid w:val="00710405"/>
    <w:rsid w:val="00714EE7"/>
    <w:rsid w:val="007178AA"/>
    <w:rsid w:val="00717A36"/>
    <w:rsid w:val="00721E1E"/>
    <w:rsid w:val="00723861"/>
    <w:rsid w:val="007253A5"/>
    <w:rsid w:val="0072699C"/>
    <w:rsid w:val="0073307D"/>
    <w:rsid w:val="00733A80"/>
    <w:rsid w:val="00736465"/>
    <w:rsid w:val="00741AE3"/>
    <w:rsid w:val="0074233E"/>
    <w:rsid w:val="00743675"/>
    <w:rsid w:val="00743867"/>
    <w:rsid w:val="0074596F"/>
    <w:rsid w:val="0074643D"/>
    <w:rsid w:val="007468A1"/>
    <w:rsid w:val="0075293A"/>
    <w:rsid w:val="0075306C"/>
    <w:rsid w:val="00753961"/>
    <w:rsid w:val="00756F68"/>
    <w:rsid w:val="00762884"/>
    <w:rsid w:val="007634BA"/>
    <w:rsid w:val="00764A1B"/>
    <w:rsid w:val="00764E80"/>
    <w:rsid w:val="00767EF8"/>
    <w:rsid w:val="007759F9"/>
    <w:rsid w:val="00775C3D"/>
    <w:rsid w:val="00776DBE"/>
    <w:rsid w:val="00783829"/>
    <w:rsid w:val="00783EFD"/>
    <w:rsid w:val="0078405D"/>
    <w:rsid w:val="00785B60"/>
    <w:rsid w:val="00787A1B"/>
    <w:rsid w:val="00787F13"/>
    <w:rsid w:val="007914A0"/>
    <w:rsid w:val="007921CD"/>
    <w:rsid w:val="007938FA"/>
    <w:rsid w:val="00795982"/>
    <w:rsid w:val="007A0411"/>
    <w:rsid w:val="007A23EA"/>
    <w:rsid w:val="007A2A57"/>
    <w:rsid w:val="007A36A8"/>
    <w:rsid w:val="007A384B"/>
    <w:rsid w:val="007A3C55"/>
    <w:rsid w:val="007A4F87"/>
    <w:rsid w:val="007A5908"/>
    <w:rsid w:val="007A5FB1"/>
    <w:rsid w:val="007B176A"/>
    <w:rsid w:val="007C0783"/>
    <w:rsid w:val="007C40FB"/>
    <w:rsid w:val="007C4699"/>
    <w:rsid w:val="007C5799"/>
    <w:rsid w:val="007D0B5C"/>
    <w:rsid w:val="007D0C1B"/>
    <w:rsid w:val="007D1141"/>
    <w:rsid w:val="007D48F8"/>
    <w:rsid w:val="007D4A65"/>
    <w:rsid w:val="007D52B5"/>
    <w:rsid w:val="007D7F03"/>
    <w:rsid w:val="007E221A"/>
    <w:rsid w:val="007E2AFC"/>
    <w:rsid w:val="007E2BA8"/>
    <w:rsid w:val="007E3491"/>
    <w:rsid w:val="007E73CB"/>
    <w:rsid w:val="007F2E31"/>
    <w:rsid w:val="007F3282"/>
    <w:rsid w:val="007F47F3"/>
    <w:rsid w:val="007F578A"/>
    <w:rsid w:val="007F786A"/>
    <w:rsid w:val="0080423D"/>
    <w:rsid w:val="00805C34"/>
    <w:rsid w:val="0081052E"/>
    <w:rsid w:val="00810B51"/>
    <w:rsid w:val="008110CD"/>
    <w:rsid w:val="008126DB"/>
    <w:rsid w:val="00816E34"/>
    <w:rsid w:val="0082081E"/>
    <w:rsid w:val="008224BE"/>
    <w:rsid w:val="008301BD"/>
    <w:rsid w:val="00830C24"/>
    <w:rsid w:val="00832160"/>
    <w:rsid w:val="00833108"/>
    <w:rsid w:val="0083403B"/>
    <w:rsid w:val="008353F5"/>
    <w:rsid w:val="00836BD7"/>
    <w:rsid w:val="00837A68"/>
    <w:rsid w:val="0084473F"/>
    <w:rsid w:val="0085424D"/>
    <w:rsid w:val="00856244"/>
    <w:rsid w:val="00856999"/>
    <w:rsid w:val="00857BAD"/>
    <w:rsid w:val="00864DDC"/>
    <w:rsid w:val="00865566"/>
    <w:rsid w:val="0086667D"/>
    <w:rsid w:val="00866860"/>
    <w:rsid w:val="00867B7B"/>
    <w:rsid w:val="008707CD"/>
    <w:rsid w:val="008737F1"/>
    <w:rsid w:val="00873975"/>
    <w:rsid w:val="008755B4"/>
    <w:rsid w:val="00876347"/>
    <w:rsid w:val="00880205"/>
    <w:rsid w:val="008803FF"/>
    <w:rsid w:val="008845EB"/>
    <w:rsid w:val="0088565B"/>
    <w:rsid w:val="00886DE7"/>
    <w:rsid w:val="008902CB"/>
    <w:rsid w:val="0089188A"/>
    <w:rsid w:val="00891CED"/>
    <w:rsid w:val="00893BCF"/>
    <w:rsid w:val="00895081"/>
    <w:rsid w:val="00896CA3"/>
    <w:rsid w:val="0089736F"/>
    <w:rsid w:val="00897FE1"/>
    <w:rsid w:val="008A25E7"/>
    <w:rsid w:val="008A2D73"/>
    <w:rsid w:val="008B5B81"/>
    <w:rsid w:val="008B640A"/>
    <w:rsid w:val="008C08EC"/>
    <w:rsid w:val="008C1E76"/>
    <w:rsid w:val="008C22FD"/>
    <w:rsid w:val="008C2657"/>
    <w:rsid w:val="008C35B4"/>
    <w:rsid w:val="008D032C"/>
    <w:rsid w:val="008D2CF0"/>
    <w:rsid w:val="008D7882"/>
    <w:rsid w:val="008E0C6D"/>
    <w:rsid w:val="008E2F13"/>
    <w:rsid w:val="008E35C9"/>
    <w:rsid w:val="008E51B3"/>
    <w:rsid w:val="008E589A"/>
    <w:rsid w:val="008F20C9"/>
    <w:rsid w:val="008F2E5C"/>
    <w:rsid w:val="008F45E8"/>
    <w:rsid w:val="008F678A"/>
    <w:rsid w:val="008F6F19"/>
    <w:rsid w:val="00900BEF"/>
    <w:rsid w:val="00901DC2"/>
    <w:rsid w:val="009029F7"/>
    <w:rsid w:val="00902B64"/>
    <w:rsid w:val="0090353F"/>
    <w:rsid w:val="00903BFB"/>
    <w:rsid w:val="00906053"/>
    <w:rsid w:val="00910B5F"/>
    <w:rsid w:val="00911089"/>
    <w:rsid w:val="0091154C"/>
    <w:rsid w:val="0091349D"/>
    <w:rsid w:val="00913608"/>
    <w:rsid w:val="009157A0"/>
    <w:rsid w:val="00922474"/>
    <w:rsid w:val="00924524"/>
    <w:rsid w:val="00924A97"/>
    <w:rsid w:val="009310C2"/>
    <w:rsid w:val="00931BC9"/>
    <w:rsid w:val="0093436F"/>
    <w:rsid w:val="009353E0"/>
    <w:rsid w:val="00935ABF"/>
    <w:rsid w:val="00937959"/>
    <w:rsid w:val="0094028D"/>
    <w:rsid w:val="00940AB2"/>
    <w:rsid w:val="00943CCE"/>
    <w:rsid w:val="00944E97"/>
    <w:rsid w:val="00945149"/>
    <w:rsid w:val="00951DF6"/>
    <w:rsid w:val="00952471"/>
    <w:rsid w:val="009531C4"/>
    <w:rsid w:val="00954D07"/>
    <w:rsid w:val="0095562A"/>
    <w:rsid w:val="00961EAB"/>
    <w:rsid w:val="00964B4D"/>
    <w:rsid w:val="0096621D"/>
    <w:rsid w:val="00976C64"/>
    <w:rsid w:val="00977787"/>
    <w:rsid w:val="00980738"/>
    <w:rsid w:val="0098252A"/>
    <w:rsid w:val="009827D3"/>
    <w:rsid w:val="00985984"/>
    <w:rsid w:val="0099010B"/>
    <w:rsid w:val="0099075B"/>
    <w:rsid w:val="0099334F"/>
    <w:rsid w:val="00993DE3"/>
    <w:rsid w:val="00993EB4"/>
    <w:rsid w:val="00994D75"/>
    <w:rsid w:val="00995517"/>
    <w:rsid w:val="00996672"/>
    <w:rsid w:val="00997D5F"/>
    <w:rsid w:val="009A17B8"/>
    <w:rsid w:val="009A20D5"/>
    <w:rsid w:val="009A4146"/>
    <w:rsid w:val="009A486E"/>
    <w:rsid w:val="009A62E8"/>
    <w:rsid w:val="009B0894"/>
    <w:rsid w:val="009B480D"/>
    <w:rsid w:val="009C02DA"/>
    <w:rsid w:val="009C1FB4"/>
    <w:rsid w:val="009C5227"/>
    <w:rsid w:val="009C5ABB"/>
    <w:rsid w:val="009C5D81"/>
    <w:rsid w:val="009D013C"/>
    <w:rsid w:val="009D0941"/>
    <w:rsid w:val="009D2CC7"/>
    <w:rsid w:val="009D5967"/>
    <w:rsid w:val="009D75A8"/>
    <w:rsid w:val="009D7A0B"/>
    <w:rsid w:val="009E1939"/>
    <w:rsid w:val="009E2682"/>
    <w:rsid w:val="009F26BA"/>
    <w:rsid w:val="009F3907"/>
    <w:rsid w:val="00A042F5"/>
    <w:rsid w:val="00A050C0"/>
    <w:rsid w:val="00A10E40"/>
    <w:rsid w:val="00A2190D"/>
    <w:rsid w:val="00A22369"/>
    <w:rsid w:val="00A241F1"/>
    <w:rsid w:val="00A334E3"/>
    <w:rsid w:val="00A34DAC"/>
    <w:rsid w:val="00A40158"/>
    <w:rsid w:val="00A42B9F"/>
    <w:rsid w:val="00A46BD4"/>
    <w:rsid w:val="00A523DD"/>
    <w:rsid w:val="00A5579B"/>
    <w:rsid w:val="00A57A2A"/>
    <w:rsid w:val="00A60EDA"/>
    <w:rsid w:val="00A6131F"/>
    <w:rsid w:val="00A62E50"/>
    <w:rsid w:val="00A632BD"/>
    <w:rsid w:val="00A65172"/>
    <w:rsid w:val="00A657A9"/>
    <w:rsid w:val="00A6651E"/>
    <w:rsid w:val="00A66588"/>
    <w:rsid w:val="00A674E9"/>
    <w:rsid w:val="00A70706"/>
    <w:rsid w:val="00A70F07"/>
    <w:rsid w:val="00A710BD"/>
    <w:rsid w:val="00A72AF3"/>
    <w:rsid w:val="00A74A47"/>
    <w:rsid w:val="00A765DE"/>
    <w:rsid w:val="00A8088F"/>
    <w:rsid w:val="00A81F9F"/>
    <w:rsid w:val="00A84328"/>
    <w:rsid w:val="00A863E3"/>
    <w:rsid w:val="00A8716C"/>
    <w:rsid w:val="00A87E28"/>
    <w:rsid w:val="00A9209E"/>
    <w:rsid w:val="00AA0DC7"/>
    <w:rsid w:val="00AA7490"/>
    <w:rsid w:val="00AA74EA"/>
    <w:rsid w:val="00AB020F"/>
    <w:rsid w:val="00AB1BBD"/>
    <w:rsid w:val="00AB2960"/>
    <w:rsid w:val="00AB5228"/>
    <w:rsid w:val="00AB784A"/>
    <w:rsid w:val="00AC1C00"/>
    <w:rsid w:val="00AC2225"/>
    <w:rsid w:val="00AC36F4"/>
    <w:rsid w:val="00AC4785"/>
    <w:rsid w:val="00AC4A40"/>
    <w:rsid w:val="00AD212B"/>
    <w:rsid w:val="00AD398D"/>
    <w:rsid w:val="00AD4BCE"/>
    <w:rsid w:val="00AE662A"/>
    <w:rsid w:val="00AE6E1F"/>
    <w:rsid w:val="00AF370C"/>
    <w:rsid w:val="00B005DF"/>
    <w:rsid w:val="00B01851"/>
    <w:rsid w:val="00B02CFA"/>
    <w:rsid w:val="00B0450B"/>
    <w:rsid w:val="00B065A7"/>
    <w:rsid w:val="00B0746C"/>
    <w:rsid w:val="00B17B91"/>
    <w:rsid w:val="00B208BD"/>
    <w:rsid w:val="00B21DC6"/>
    <w:rsid w:val="00B22F7E"/>
    <w:rsid w:val="00B23525"/>
    <w:rsid w:val="00B2387E"/>
    <w:rsid w:val="00B247AE"/>
    <w:rsid w:val="00B25EE0"/>
    <w:rsid w:val="00B346DC"/>
    <w:rsid w:val="00B375BD"/>
    <w:rsid w:val="00B400A5"/>
    <w:rsid w:val="00B401B6"/>
    <w:rsid w:val="00B42F78"/>
    <w:rsid w:val="00B50BEF"/>
    <w:rsid w:val="00B5150D"/>
    <w:rsid w:val="00B524C5"/>
    <w:rsid w:val="00B550F5"/>
    <w:rsid w:val="00B565D4"/>
    <w:rsid w:val="00B5678E"/>
    <w:rsid w:val="00B602D3"/>
    <w:rsid w:val="00B63BBB"/>
    <w:rsid w:val="00B63F62"/>
    <w:rsid w:val="00B644B5"/>
    <w:rsid w:val="00B6454A"/>
    <w:rsid w:val="00B65A07"/>
    <w:rsid w:val="00B7088E"/>
    <w:rsid w:val="00B7592C"/>
    <w:rsid w:val="00B7594B"/>
    <w:rsid w:val="00B8043E"/>
    <w:rsid w:val="00B8121C"/>
    <w:rsid w:val="00B91D61"/>
    <w:rsid w:val="00B94991"/>
    <w:rsid w:val="00B959F0"/>
    <w:rsid w:val="00B95C50"/>
    <w:rsid w:val="00B95F6B"/>
    <w:rsid w:val="00BA0A1F"/>
    <w:rsid w:val="00BA3F8A"/>
    <w:rsid w:val="00BA6B42"/>
    <w:rsid w:val="00BB024E"/>
    <w:rsid w:val="00BB3122"/>
    <w:rsid w:val="00BB4FE4"/>
    <w:rsid w:val="00BB66C8"/>
    <w:rsid w:val="00BB6EB1"/>
    <w:rsid w:val="00BC37C8"/>
    <w:rsid w:val="00BC506E"/>
    <w:rsid w:val="00BC608D"/>
    <w:rsid w:val="00BD1B34"/>
    <w:rsid w:val="00BD4D38"/>
    <w:rsid w:val="00BD7A2E"/>
    <w:rsid w:val="00BE0042"/>
    <w:rsid w:val="00BE1140"/>
    <w:rsid w:val="00BE403F"/>
    <w:rsid w:val="00BE58FF"/>
    <w:rsid w:val="00BE753E"/>
    <w:rsid w:val="00BF1DB6"/>
    <w:rsid w:val="00BF290B"/>
    <w:rsid w:val="00BF2CE8"/>
    <w:rsid w:val="00BF4AE5"/>
    <w:rsid w:val="00C00B8C"/>
    <w:rsid w:val="00C02973"/>
    <w:rsid w:val="00C02B6A"/>
    <w:rsid w:val="00C03AD3"/>
    <w:rsid w:val="00C042B7"/>
    <w:rsid w:val="00C076BC"/>
    <w:rsid w:val="00C07EBE"/>
    <w:rsid w:val="00C10205"/>
    <w:rsid w:val="00C1386B"/>
    <w:rsid w:val="00C165FB"/>
    <w:rsid w:val="00C23604"/>
    <w:rsid w:val="00C23903"/>
    <w:rsid w:val="00C24BB0"/>
    <w:rsid w:val="00C252AE"/>
    <w:rsid w:val="00C277F5"/>
    <w:rsid w:val="00C31B93"/>
    <w:rsid w:val="00C31F42"/>
    <w:rsid w:val="00C359E2"/>
    <w:rsid w:val="00C36D79"/>
    <w:rsid w:val="00C3742C"/>
    <w:rsid w:val="00C51350"/>
    <w:rsid w:val="00C54703"/>
    <w:rsid w:val="00C82ADA"/>
    <w:rsid w:val="00C87F7A"/>
    <w:rsid w:val="00C903BC"/>
    <w:rsid w:val="00C94258"/>
    <w:rsid w:val="00C94A6C"/>
    <w:rsid w:val="00C951D5"/>
    <w:rsid w:val="00C968F1"/>
    <w:rsid w:val="00CA36C6"/>
    <w:rsid w:val="00CA7CEB"/>
    <w:rsid w:val="00CB12C6"/>
    <w:rsid w:val="00CB1BB1"/>
    <w:rsid w:val="00CB2C5A"/>
    <w:rsid w:val="00CB466F"/>
    <w:rsid w:val="00CB4CE5"/>
    <w:rsid w:val="00CB5ADF"/>
    <w:rsid w:val="00CC0B74"/>
    <w:rsid w:val="00CC4594"/>
    <w:rsid w:val="00CC698D"/>
    <w:rsid w:val="00CC71D1"/>
    <w:rsid w:val="00CD06CD"/>
    <w:rsid w:val="00CD2BD1"/>
    <w:rsid w:val="00CD2E90"/>
    <w:rsid w:val="00CD6AE3"/>
    <w:rsid w:val="00CE3199"/>
    <w:rsid w:val="00CE3727"/>
    <w:rsid w:val="00CE4427"/>
    <w:rsid w:val="00CE745F"/>
    <w:rsid w:val="00CE766D"/>
    <w:rsid w:val="00CF0EB3"/>
    <w:rsid w:val="00CF222B"/>
    <w:rsid w:val="00CF6475"/>
    <w:rsid w:val="00CF717C"/>
    <w:rsid w:val="00D03724"/>
    <w:rsid w:val="00D045BE"/>
    <w:rsid w:val="00D05384"/>
    <w:rsid w:val="00D124C0"/>
    <w:rsid w:val="00D155E6"/>
    <w:rsid w:val="00D175A8"/>
    <w:rsid w:val="00D248D4"/>
    <w:rsid w:val="00D25201"/>
    <w:rsid w:val="00D3090E"/>
    <w:rsid w:val="00D3390D"/>
    <w:rsid w:val="00D36742"/>
    <w:rsid w:val="00D3749E"/>
    <w:rsid w:val="00D374E7"/>
    <w:rsid w:val="00D458AC"/>
    <w:rsid w:val="00D4639F"/>
    <w:rsid w:val="00D46A0D"/>
    <w:rsid w:val="00D514B1"/>
    <w:rsid w:val="00D53260"/>
    <w:rsid w:val="00D5411A"/>
    <w:rsid w:val="00D55176"/>
    <w:rsid w:val="00D55A12"/>
    <w:rsid w:val="00D574E6"/>
    <w:rsid w:val="00D61B77"/>
    <w:rsid w:val="00D628F4"/>
    <w:rsid w:val="00D62AE7"/>
    <w:rsid w:val="00D704FF"/>
    <w:rsid w:val="00D72E1B"/>
    <w:rsid w:val="00D72F00"/>
    <w:rsid w:val="00D73B86"/>
    <w:rsid w:val="00D7437A"/>
    <w:rsid w:val="00D76D32"/>
    <w:rsid w:val="00D8039B"/>
    <w:rsid w:val="00D83CED"/>
    <w:rsid w:val="00D85381"/>
    <w:rsid w:val="00D9404C"/>
    <w:rsid w:val="00DA0695"/>
    <w:rsid w:val="00DA55D8"/>
    <w:rsid w:val="00DA56FB"/>
    <w:rsid w:val="00DA5AB7"/>
    <w:rsid w:val="00DB167A"/>
    <w:rsid w:val="00DC2DF3"/>
    <w:rsid w:val="00DC3D3F"/>
    <w:rsid w:val="00DD0224"/>
    <w:rsid w:val="00DD1005"/>
    <w:rsid w:val="00DD1BDE"/>
    <w:rsid w:val="00DD1E8C"/>
    <w:rsid w:val="00DD4B37"/>
    <w:rsid w:val="00DD5DC4"/>
    <w:rsid w:val="00DD6955"/>
    <w:rsid w:val="00DE0A65"/>
    <w:rsid w:val="00DE0FB1"/>
    <w:rsid w:val="00DE2A72"/>
    <w:rsid w:val="00DE4235"/>
    <w:rsid w:val="00DE60F5"/>
    <w:rsid w:val="00DE634F"/>
    <w:rsid w:val="00DE6FE5"/>
    <w:rsid w:val="00DF0009"/>
    <w:rsid w:val="00DF0562"/>
    <w:rsid w:val="00DF1188"/>
    <w:rsid w:val="00DF12E0"/>
    <w:rsid w:val="00DF5145"/>
    <w:rsid w:val="00DF576E"/>
    <w:rsid w:val="00DF6AA9"/>
    <w:rsid w:val="00E0092F"/>
    <w:rsid w:val="00E0174A"/>
    <w:rsid w:val="00E02F08"/>
    <w:rsid w:val="00E050C5"/>
    <w:rsid w:val="00E06579"/>
    <w:rsid w:val="00E10BAE"/>
    <w:rsid w:val="00E153EC"/>
    <w:rsid w:val="00E208B3"/>
    <w:rsid w:val="00E21984"/>
    <w:rsid w:val="00E2308F"/>
    <w:rsid w:val="00E263AB"/>
    <w:rsid w:val="00E263B1"/>
    <w:rsid w:val="00E26993"/>
    <w:rsid w:val="00E300E5"/>
    <w:rsid w:val="00E30254"/>
    <w:rsid w:val="00E303A4"/>
    <w:rsid w:val="00E30CF5"/>
    <w:rsid w:val="00E33B99"/>
    <w:rsid w:val="00E37FB9"/>
    <w:rsid w:val="00E408EB"/>
    <w:rsid w:val="00E41834"/>
    <w:rsid w:val="00E42484"/>
    <w:rsid w:val="00E4552B"/>
    <w:rsid w:val="00E47624"/>
    <w:rsid w:val="00E47902"/>
    <w:rsid w:val="00E51BB5"/>
    <w:rsid w:val="00E552F7"/>
    <w:rsid w:val="00E57F6E"/>
    <w:rsid w:val="00E62272"/>
    <w:rsid w:val="00E6546D"/>
    <w:rsid w:val="00E6708A"/>
    <w:rsid w:val="00E72FAD"/>
    <w:rsid w:val="00E7652A"/>
    <w:rsid w:val="00E776DB"/>
    <w:rsid w:val="00E81E06"/>
    <w:rsid w:val="00E834B2"/>
    <w:rsid w:val="00E83873"/>
    <w:rsid w:val="00E83D21"/>
    <w:rsid w:val="00E845C9"/>
    <w:rsid w:val="00E85022"/>
    <w:rsid w:val="00E850C0"/>
    <w:rsid w:val="00E85BD4"/>
    <w:rsid w:val="00E86432"/>
    <w:rsid w:val="00E92A2B"/>
    <w:rsid w:val="00E934E5"/>
    <w:rsid w:val="00E936AC"/>
    <w:rsid w:val="00E95577"/>
    <w:rsid w:val="00EA011F"/>
    <w:rsid w:val="00EA08FD"/>
    <w:rsid w:val="00EA30A2"/>
    <w:rsid w:val="00EA510A"/>
    <w:rsid w:val="00EA72B1"/>
    <w:rsid w:val="00EB1127"/>
    <w:rsid w:val="00EB19E5"/>
    <w:rsid w:val="00EB2AE2"/>
    <w:rsid w:val="00EB3E16"/>
    <w:rsid w:val="00EC04F1"/>
    <w:rsid w:val="00EC07D0"/>
    <w:rsid w:val="00EC0D10"/>
    <w:rsid w:val="00EC4503"/>
    <w:rsid w:val="00EC7313"/>
    <w:rsid w:val="00ED01AF"/>
    <w:rsid w:val="00ED1538"/>
    <w:rsid w:val="00ED1CFA"/>
    <w:rsid w:val="00ED3950"/>
    <w:rsid w:val="00ED3E6D"/>
    <w:rsid w:val="00ED5761"/>
    <w:rsid w:val="00ED6228"/>
    <w:rsid w:val="00ED63E9"/>
    <w:rsid w:val="00ED6B0F"/>
    <w:rsid w:val="00EE0737"/>
    <w:rsid w:val="00EE1D48"/>
    <w:rsid w:val="00EE59FC"/>
    <w:rsid w:val="00EE6546"/>
    <w:rsid w:val="00EF55EB"/>
    <w:rsid w:val="00EF6871"/>
    <w:rsid w:val="00EF7294"/>
    <w:rsid w:val="00F051F7"/>
    <w:rsid w:val="00F06D9E"/>
    <w:rsid w:val="00F074A7"/>
    <w:rsid w:val="00F11912"/>
    <w:rsid w:val="00F1231E"/>
    <w:rsid w:val="00F12776"/>
    <w:rsid w:val="00F16352"/>
    <w:rsid w:val="00F1652D"/>
    <w:rsid w:val="00F16891"/>
    <w:rsid w:val="00F1737C"/>
    <w:rsid w:val="00F17A7F"/>
    <w:rsid w:val="00F211A4"/>
    <w:rsid w:val="00F211B1"/>
    <w:rsid w:val="00F24916"/>
    <w:rsid w:val="00F25413"/>
    <w:rsid w:val="00F27F26"/>
    <w:rsid w:val="00F303B5"/>
    <w:rsid w:val="00F31962"/>
    <w:rsid w:val="00F32BBD"/>
    <w:rsid w:val="00F32F8A"/>
    <w:rsid w:val="00F34F43"/>
    <w:rsid w:val="00F35313"/>
    <w:rsid w:val="00F355E2"/>
    <w:rsid w:val="00F3652E"/>
    <w:rsid w:val="00F37223"/>
    <w:rsid w:val="00F37DDB"/>
    <w:rsid w:val="00F417BD"/>
    <w:rsid w:val="00F44383"/>
    <w:rsid w:val="00F51079"/>
    <w:rsid w:val="00F51092"/>
    <w:rsid w:val="00F51E2C"/>
    <w:rsid w:val="00F5219C"/>
    <w:rsid w:val="00F5220E"/>
    <w:rsid w:val="00F53D11"/>
    <w:rsid w:val="00F62321"/>
    <w:rsid w:val="00F63761"/>
    <w:rsid w:val="00F665F2"/>
    <w:rsid w:val="00F72CF1"/>
    <w:rsid w:val="00F7408A"/>
    <w:rsid w:val="00F755B1"/>
    <w:rsid w:val="00F756A7"/>
    <w:rsid w:val="00F75E4C"/>
    <w:rsid w:val="00F80C0B"/>
    <w:rsid w:val="00F8134F"/>
    <w:rsid w:val="00F82D16"/>
    <w:rsid w:val="00F83726"/>
    <w:rsid w:val="00F93DC6"/>
    <w:rsid w:val="00F97288"/>
    <w:rsid w:val="00F97EBA"/>
    <w:rsid w:val="00FA7419"/>
    <w:rsid w:val="00FB22EB"/>
    <w:rsid w:val="00FB29B9"/>
    <w:rsid w:val="00FB2E05"/>
    <w:rsid w:val="00FB3094"/>
    <w:rsid w:val="00FC13C7"/>
    <w:rsid w:val="00FC1A40"/>
    <w:rsid w:val="00FC6B23"/>
    <w:rsid w:val="00FC7ABD"/>
    <w:rsid w:val="00FD3AC9"/>
    <w:rsid w:val="00FD6F45"/>
    <w:rsid w:val="00FE0E25"/>
    <w:rsid w:val="00FE14EB"/>
    <w:rsid w:val="00FE46A7"/>
    <w:rsid w:val="00FE61FD"/>
    <w:rsid w:val="00FE64B4"/>
    <w:rsid w:val="00FE7F7B"/>
    <w:rsid w:val="00FF3CCD"/>
    <w:rsid w:val="00FF5265"/>
    <w:rsid w:val="01E7250B"/>
    <w:rsid w:val="029D7DF5"/>
    <w:rsid w:val="0B871283"/>
    <w:rsid w:val="161F5ED1"/>
    <w:rsid w:val="16EF1807"/>
    <w:rsid w:val="19BF75FD"/>
    <w:rsid w:val="1B0D7ACD"/>
    <w:rsid w:val="24EC7F34"/>
    <w:rsid w:val="2691133E"/>
    <w:rsid w:val="29D43C66"/>
    <w:rsid w:val="2D2F7B08"/>
    <w:rsid w:val="2DB86325"/>
    <w:rsid w:val="2F6A229A"/>
    <w:rsid w:val="358D65F0"/>
    <w:rsid w:val="3DCF281E"/>
    <w:rsid w:val="41020363"/>
    <w:rsid w:val="41C60438"/>
    <w:rsid w:val="4FD92637"/>
    <w:rsid w:val="55722F8A"/>
    <w:rsid w:val="55E2384C"/>
    <w:rsid w:val="5AE360C2"/>
    <w:rsid w:val="5D763B2E"/>
    <w:rsid w:val="688E4C17"/>
    <w:rsid w:val="6B6468B0"/>
    <w:rsid w:val="6B8C0D41"/>
    <w:rsid w:val="6F8E11AD"/>
    <w:rsid w:val="70BB091B"/>
    <w:rsid w:val="7F2F6C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25"/>
    <w:qFormat/>
    <w:uiPriority w:val="0"/>
    <w:pPr>
      <w:keepNext/>
      <w:jc w:val="both"/>
      <w:outlineLvl w:val="0"/>
    </w:pPr>
    <w:rPr>
      <w:rFonts w:eastAsia="Arial Unicode MS"/>
      <w:b/>
      <w:sz w:val="28"/>
      <w:szCs w:val="20"/>
      <w:lang w:val="en-GB"/>
    </w:rPr>
  </w:style>
  <w:style w:type="paragraph" w:styleId="3">
    <w:name w:val="heading 2"/>
    <w:basedOn w:val="1"/>
    <w:next w:val="1"/>
    <w:link w:val="26"/>
    <w:qFormat/>
    <w:uiPriority w:val="0"/>
    <w:pPr>
      <w:keepNext/>
      <w:jc w:val="center"/>
      <w:outlineLvl w:val="1"/>
    </w:pPr>
    <w:rPr>
      <w:rFonts w:eastAsia="Arial Unicode MS"/>
      <w:b/>
      <w:sz w:val="28"/>
      <w:szCs w:val="20"/>
      <w:lang w:val="en-GB"/>
    </w:rPr>
  </w:style>
  <w:style w:type="paragraph" w:styleId="4">
    <w:name w:val="heading 3"/>
    <w:basedOn w:val="1"/>
    <w:next w:val="1"/>
    <w:link w:val="27"/>
    <w:qFormat/>
    <w:uiPriority w:val="0"/>
    <w:pPr>
      <w:keepNext/>
      <w:jc w:val="center"/>
      <w:outlineLvl w:val="2"/>
    </w:pPr>
    <w:rPr>
      <w:bCs/>
      <w:sz w:val="28"/>
    </w:rPr>
  </w:style>
  <w:style w:type="paragraph" w:styleId="5">
    <w:name w:val="heading 4"/>
    <w:basedOn w:val="1"/>
    <w:next w:val="1"/>
    <w:link w:val="28"/>
    <w:qFormat/>
    <w:uiPriority w:val="0"/>
    <w:pPr>
      <w:keepNext/>
      <w:widowControl w:val="0"/>
      <w:tabs>
        <w:tab w:val="left" w:pos="720"/>
        <w:tab w:val="left" w:pos="1440"/>
        <w:tab w:val="left" w:pos="2160"/>
        <w:tab w:val="left" w:pos="2880"/>
        <w:tab w:val="left" w:pos="3600"/>
      </w:tabs>
      <w:spacing w:line="360" w:lineRule="auto"/>
      <w:ind w:left="720" w:hanging="720"/>
      <w:jc w:val="both"/>
      <w:outlineLvl w:val="3"/>
    </w:pPr>
    <w:rPr>
      <w:sz w:val="28"/>
    </w:rPr>
  </w:style>
  <w:style w:type="paragraph" w:styleId="6">
    <w:name w:val="heading 5"/>
    <w:basedOn w:val="1"/>
    <w:next w:val="1"/>
    <w:link w:val="29"/>
    <w:qFormat/>
    <w:uiPriority w:val="0"/>
    <w:pPr>
      <w:keepNext/>
      <w:widowControl w:val="0"/>
      <w:tabs>
        <w:tab w:val="left" w:pos="2160"/>
        <w:tab w:val="left" w:pos="2880"/>
        <w:tab w:val="left" w:pos="3600"/>
      </w:tabs>
      <w:spacing w:line="360" w:lineRule="auto"/>
      <w:ind w:left="2160"/>
      <w:jc w:val="center"/>
      <w:outlineLvl w:val="4"/>
    </w:pPr>
    <w:rPr>
      <w:rFonts w:eastAsia="Arial Unicode MS"/>
      <w:b/>
      <w:szCs w:val="20"/>
      <w:lang w:val="en-GB"/>
    </w:rPr>
  </w:style>
  <w:style w:type="paragraph" w:styleId="7">
    <w:name w:val="heading 6"/>
    <w:basedOn w:val="1"/>
    <w:next w:val="1"/>
    <w:link w:val="30"/>
    <w:qFormat/>
    <w:uiPriority w:val="0"/>
    <w:pPr>
      <w:keepNext/>
      <w:widowControl w:val="0"/>
      <w:tabs>
        <w:tab w:val="left" w:pos="2160"/>
        <w:tab w:val="left" w:pos="2880"/>
        <w:tab w:val="left" w:pos="3600"/>
      </w:tabs>
      <w:spacing w:line="360" w:lineRule="auto"/>
      <w:jc w:val="center"/>
      <w:outlineLvl w:val="5"/>
    </w:pPr>
    <w:rPr>
      <w:rFonts w:eastAsia="Arial Unicode MS"/>
      <w:i/>
      <w:szCs w:val="20"/>
      <w:lang w:val="en-GB"/>
    </w:rPr>
  </w:style>
  <w:style w:type="paragraph" w:styleId="8">
    <w:name w:val="heading 7"/>
    <w:basedOn w:val="1"/>
    <w:next w:val="1"/>
    <w:link w:val="31"/>
    <w:qFormat/>
    <w:uiPriority w:val="0"/>
    <w:pPr>
      <w:keepNext/>
      <w:jc w:val="center"/>
      <w:outlineLvl w:val="6"/>
    </w:pPr>
    <w:rPr>
      <w:b/>
      <w:sz w:val="32"/>
    </w:rPr>
  </w:style>
  <w:style w:type="paragraph" w:styleId="9">
    <w:name w:val="heading 8"/>
    <w:basedOn w:val="1"/>
    <w:next w:val="1"/>
    <w:link w:val="32"/>
    <w:qFormat/>
    <w:uiPriority w:val="0"/>
    <w:pPr>
      <w:keepNext/>
      <w:spacing w:line="360" w:lineRule="auto"/>
      <w:ind w:left="720" w:hanging="720"/>
      <w:jc w:val="center"/>
      <w:outlineLvl w:val="7"/>
    </w:pPr>
    <w:rPr>
      <w:b/>
      <w:bCs/>
      <w:sz w:val="28"/>
      <w:lang w:val="en-GB"/>
    </w:rPr>
  </w:style>
  <w:style w:type="paragraph" w:styleId="10">
    <w:name w:val="heading 9"/>
    <w:basedOn w:val="1"/>
    <w:next w:val="1"/>
    <w:link w:val="33"/>
    <w:qFormat/>
    <w:uiPriority w:val="0"/>
    <w:pPr>
      <w:keepNext/>
      <w:outlineLvl w:val="8"/>
    </w:pPr>
    <w:rPr>
      <w:bCs/>
      <w:sz w:val="28"/>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40"/>
    <w:semiHidden/>
    <w:unhideWhenUsed/>
    <w:qFormat/>
    <w:uiPriority w:val="99"/>
    <w:rPr>
      <w:rFonts w:ascii="Tahoma" w:hAnsi="Tahoma" w:cs="Tahoma"/>
      <w:sz w:val="16"/>
      <w:szCs w:val="16"/>
    </w:rPr>
  </w:style>
  <w:style w:type="character" w:styleId="14">
    <w:name w:val="annotation reference"/>
    <w:basedOn w:val="11"/>
    <w:semiHidden/>
    <w:unhideWhenUsed/>
    <w:qFormat/>
    <w:uiPriority w:val="99"/>
    <w:rPr>
      <w:sz w:val="16"/>
      <w:szCs w:val="16"/>
    </w:rPr>
  </w:style>
  <w:style w:type="paragraph" w:styleId="15">
    <w:name w:val="annotation text"/>
    <w:basedOn w:val="1"/>
    <w:link w:val="44"/>
    <w:semiHidden/>
    <w:unhideWhenUsed/>
    <w:qFormat/>
    <w:uiPriority w:val="99"/>
    <w:rPr>
      <w:sz w:val="20"/>
      <w:szCs w:val="20"/>
    </w:rPr>
  </w:style>
  <w:style w:type="paragraph" w:styleId="16">
    <w:name w:val="annotation subject"/>
    <w:basedOn w:val="15"/>
    <w:next w:val="15"/>
    <w:link w:val="45"/>
    <w:semiHidden/>
    <w:unhideWhenUsed/>
    <w:qFormat/>
    <w:uiPriority w:val="99"/>
    <w:rPr>
      <w:b/>
      <w:bCs/>
    </w:rPr>
  </w:style>
  <w:style w:type="paragraph" w:styleId="17">
    <w:name w:val="footer"/>
    <w:basedOn w:val="1"/>
    <w:link w:val="38"/>
    <w:qFormat/>
    <w:uiPriority w:val="99"/>
    <w:pPr>
      <w:tabs>
        <w:tab w:val="center" w:pos="4680"/>
        <w:tab w:val="right" w:pos="9360"/>
      </w:tabs>
    </w:pPr>
  </w:style>
  <w:style w:type="character" w:styleId="18">
    <w:name w:val="footnote reference"/>
    <w:basedOn w:val="11"/>
    <w:semiHidden/>
    <w:unhideWhenUsed/>
    <w:qFormat/>
    <w:uiPriority w:val="99"/>
    <w:rPr>
      <w:vertAlign w:val="superscript"/>
    </w:rPr>
  </w:style>
  <w:style w:type="paragraph" w:styleId="19">
    <w:name w:val="footnote text"/>
    <w:basedOn w:val="1"/>
    <w:semiHidden/>
    <w:unhideWhenUsed/>
    <w:qFormat/>
    <w:uiPriority w:val="99"/>
    <w:rPr>
      <w:sz w:val="20"/>
    </w:rPr>
  </w:style>
  <w:style w:type="paragraph" w:styleId="20">
    <w:name w:val="header"/>
    <w:basedOn w:val="1"/>
    <w:link w:val="41"/>
    <w:unhideWhenUsed/>
    <w:qFormat/>
    <w:uiPriority w:val="99"/>
    <w:pPr>
      <w:tabs>
        <w:tab w:val="center" w:pos="4680"/>
        <w:tab w:val="right" w:pos="9360"/>
      </w:tabs>
    </w:pPr>
  </w:style>
  <w:style w:type="character" w:styleId="21">
    <w:name w:val="Hyperlink"/>
    <w:basedOn w:val="11"/>
    <w:semiHidden/>
    <w:unhideWhenUsed/>
    <w:qFormat/>
    <w:uiPriority w:val="99"/>
    <w:rPr>
      <w:color w:val="0000FF"/>
      <w:u w:val="single"/>
    </w:rPr>
  </w:style>
  <w:style w:type="paragraph" w:styleId="22">
    <w:name w:val="Subtitle"/>
    <w:basedOn w:val="1"/>
    <w:link w:val="35"/>
    <w:qFormat/>
    <w:uiPriority w:val="0"/>
    <w:pPr>
      <w:spacing w:line="360" w:lineRule="auto"/>
      <w:jc w:val="center"/>
    </w:pPr>
    <w:rPr>
      <w:b/>
      <w:bCs/>
      <w:sz w:val="28"/>
      <w:lang w:val="en-GB"/>
    </w:rPr>
  </w:style>
  <w:style w:type="table" w:styleId="2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4">
    <w:name w:val="Title"/>
    <w:basedOn w:val="1"/>
    <w:link w:val="34"/>
    <w:qFormat/>
    <w:uiPriority w:val="0"/>
    <w:pPr>
      <w:jc w:val="center"/>
    </w:pPr>
    <w:rPr>
      <w:b/>
      <w:sz w:val="28"/>
      <w:szCs w:val="20"/>
      <w:lang w:val="en-GB"/>
    </w:rPr>
  </w:style>
  <w:style w:type="character" w:customStyle="1" w:styleId="25">
    <w:name w:val="Heading 1 Char"/>
    <w:basedOn w:val="11"/>
    <w:link w:val="2"/>
    <w:qFormat/>
    <w:uiPriority w:val="0"/>
    <w:rPr>
      <w:rFonts w:eastAsia="Arial Unicode MS"/>
      <w:b/>
      <w:sz w:val="28"/>
      <w:lang w:val="en-GB"/>
    </w:rPr>
  </w:style>
  <w:style w:type="character" w:customStyle="1" w:styleId="26">
    <w:name w:val="Heading 2 Char"/>
    <w:basedOn w:val="11"/>
    <w:link w:val="3"/>
    <w:qFormat/>
    <w:uiPriority w:val="0"/>
    <w:rPr>
      <w:rFonts w:eastAsia="Arial Unicode MS"/>
      <w:b/>
      <w:sz w:val="28"/>
      <w:lang w:val="en-GB"/>
    </w:rPr>
  </w:style>
  <w:style w:type="character" w:customStyle="1" w:styleId="27">
    <w:name w:val="Heading 3 Char"/>
    <w:basedOn w:val="11"/>
    <w:link w:val="4"/>
    <w:qFormat/>
    <w:uiPriority w:val="0"/>
    <w:rPr>
      <w:bCs/>
      <w:sz w:val="28"/>
      <w:szCs w:val="24"/>
    </w:rPr>
  </w:style>
  <w:style w:type="character" w:customStyle="1" w:styleId="28">
    <w:name w:val="Heading 4 Char"/>
    <w:basedOn w:val="11"/>
    <w:link w:val="5"/>
    <w:qFormat/>
    <w:uiPriority w:val="0"/>
    <w:rPr>
      <w:sz w:val="28"/>
      <w:szCs w:val="24"/>
    </w:rPr>
  </w:style>
  <w:style w:type="character" w:customStyle="1" w:styleId="29">
    <w:name w:val="Heading 5 Char"/>
    <w:basedOn w:val="11"/>
    <w:link w:val="6"/>
    <w:qFormat/>
    <w:uiPriority w:val="0"/>
    <w:rPr>
      <w:rFonts w:eastAsia="Arial Unicode MS"/>
      <w:b/>
      <w:sz w:val="24"/>
      <w:lang w:val="en-GB"/>
    </w:rPr>
  </w:style>
  <w:style w:type="character" w:customStyle="1" w:styleId="30">
    <w:name w:val="Heading 6 Char"/>
    <w:basedOn w:val="11"/>
    <w:link w:val="7"/>
    <w:qFormat/>
    <w:uiPriority w:val="0"/>
    <w:rPr>
      <w:rFonts w:eastAsia="Arial Unicode MS"/>
      <w:i/>
      <w:sz w:val="24"/>
      <w:lang w:val="en-GB"/>
    </w:rPr>
  </w:style>
  <w:style w:type="character" w:customStyle="1" w:styleId="31">
    <w:name w:val="Heading 7 Char"/>
    <w:basedOn w:val="11"/>
    <w:link w:val="8"/>
    <w:qFormat/>
    <w:uiPriority w:val="0"/>
    <w:rPr>
      <w:b/>
      <w:sz w:val="32"/>
      <w:szCs w:val="24"/>
    </w:rPr>
  </w:style>
  <w:style w:type="character" w:customStyle="1" w:styleId="32">
    <w:name w:val="Heading 8 Char"/>
    <w:basedOn w:val="11"/>
    <w:link w:val="9"/>
    <w:qFormat/>
    <w:uiPriority w:val="0"/>
    <w:rPr>
      <w:b/>
      <w:bCs/>
      <w:sz w:val="28"/>
      <w:szCs w:val="24"/>
      <w:lang w:val="en-GB"/>
    </w:rPr>
  </w:style>
  <w:style w:type="character" w:customStyle="1" w:styleId="33">
    <w:name w:val="Heading 9 Char"/>
    <w:basedOn w:val="11"/>
    <w:link w:val="10"/>
    <w:qFormat/>
    <w:uiPriority w:val="0"/>
    <w:rPr>
      <w:bCs/>
      <w:sz w:val="28"/>
      <w:szCs w:val="24"/>
    </w:rPr>
  </w:style>
  <w:style w:type="character" w:customStyle="1" w:styleId="34">
    <w:name w:val="Title Char"/>
    <w:basedOn w:val="11"/>
    <w:link w:val="24"/>
    <w:qFormat/>
    <w:uiPriority w:val="0"/>
    <w:rPr>
      <w:b/>
      <w:sz w:val="28"/>
      <w:lang w:val="en-GB"/>
    </w:rPr>
  </w:style>
  <w:style w:type="character" w:customStyle="1" w:styleId="35">
    <w:name w:val="Subtitle Char"/>
    <w:basedOn w:val="11"/>
    <w:link w:val="22"/>
    <w:qFormat/>
    <w:uiPriority w:val="0"/>
    <w:rPr>
      <w:b/>
      <w:bCs/>
      <w:sz w:val="28"/>
      <w:szCs w:val="24"/>
      <w:lang w:val="en-GB"/>
    </w:rPr>
  </w:style>
  <w:style w:type="paragraph" w:styleId="36">
    <w:name w:val="List Paragraph"/>
    <w:basedOn w:val="1"/>
    <w:link w:val="52"/>
    <w:qFormat/>
    <w:uiPriority w:val="34"/>
    <w:pPr>
      <w:ind w:left="720"/>
    </w:pPr>
  </w:style>
  <w:style w:type="paragraph" w:customStyle="1" w:styleId="37">
    <w:name w:val="TOC Heading1"/>
    <w:basedOn w:val="2"/>
    <w:next w:val="1"/>
    <w:semiHidden/>
    <w:unhideWhenUsed/>
    <w:qFormat/>
    <w:uiPriority w:val="39"/>
    <w:pPr>
      <w:keepLines/>
      <w:spacing w:before="480" w:line="276" w:lineRule="auto"/>
      <w:jc w:val="left"/>
      <w:outlineLvl w:val="9"/>
    </w:pPr>
    <w:rPr>
      <w:rFonts w:ascii="Cambria" w:hAnsi="Cambria" w:eastAsia="MS Gothic"/>
      <w:bCs/>
      <w:color w:val="365F91"/>
      <w:szCs w:val="28"/>
      <w:lang w:val="en-US" w:eastAsia="ja-JP"/>
    </w:rPr>
  </w:style>
  <w:style w:type="character" w:customStyle="1" w:styleId="38">
    <w:name w:val="Footer Char"/>
    <w:basedOn w:val="11"/>
    <w:link w:val="17"/>
    <w:qFormat/>
    <w:uiPriority w:val="99"/>
    <w:rPr>
      <w:sz w:val="24"/>
      <w:szCs w:val="24"/>
    </w:rPr>
  </w:style>
  <w:style w:type="character" w:customStyle="1" w:styleId="39">
    <w:name w:val="Message Header Label"/>
    <w:qFormat/>
    <w:uiPriority w:val="0"/>
    <w:rPr>
      <w:rFonts w:ascii="Arial Black" w:hAnsi="Arial Black"/>
      <w:spacing w:val="-10"/>
      <w:sz w:val="18"/>
    </w:rPr>
  </w:style>
  <w:style w:type="character" w:customStyle="1" w:styleId="40">
    <w:name w:val="Balloon Text Char"/>
    <w:basedOn w:val="11"/>
    <w:link w:val="13"/>
    <w:semiHidden/>
    <w:qFormat/>
    <w:uiPriority w:val="99"/>
    <w:rPr>
      <w:rFonts w:ascii="Tahoma" w:hAnsi="Tahoma" w:cs="Tahoma"/>
      <w:sz w:val="16"/>
      <w:szCs w:val="16"/>
    </w:rPr>
  </w:style>
  <w:style w:type="character" w:customStyle="1" w:styleId="41">
    <w:name w:val="Header Char"/>
    <w:basedOn w:val="11"/>
    <w:link w:val="20"/>
    <w:qFormat/>
    <w:uiPriority w:val="99"/>
    <w:rPr>
      <w:sz w:val="24"/>
      <w:szCs w:val="24"/>
    </w:rPr>
  </w:style>
  <w:style w:type="paragraph" w:customStyle="1" w:styleId="42">
    <w:name w:val="Char Char Char Char Char Char Char Char Char Char Char Char Char Char Char Char Char Char1 Char Char Char Char Char Char Char Char Char Char Char Char Char Char Char Char Char Char Char Char Char Char Char Char Char"/>
    <w:basedOn w:val="1"/>
    <w:qFormat/>
    <w:uiPriority w:val="0"/>
    <w:pPr>
      <w:spacing w:after="160" w:line="240" w:lineRule="exact"/>
    </w:pPr>
    <w:rPr>
      <w:rFonts w:ascii="Tahoma" w:hAnsi="Tahoma" w:cs="Tahoma"/>
      <w:sz w:val="20"/>
      <w:szCs w:val="20"/>
      <w:lang w:val="en-GB"/>
    </w:rPr>
  </w:style>
  <w:style w:type="paragraph" w:customStyle="1" w:styleId="43">
    <w:name w:val="Default"/>
    <w:qFormat/>
    <w:uiPriority w:val="0"/>
    <w:pPr>
      <w:autoSpaceDE w:val="0"/>
      <w:autoSpaceDN w:val="0"/>
      <w:adjustRightInd w:val="0"/>
    </w:pPr>
    <w:rPr>
      <w:rFonts w:ascii="Arial" w:hAnsi="Arial" w:eastAsia="Times New Roman" w:cs="Arial"/>
      <w:color w:val="000000"/>
      <w:sz w:val="24"/>
      <w:szCs w:val="24"/>
      <w:lang w:val="en-US" w:eastAsia="en-US" w:bidi="ar-SA"/>
    </w:rPr>
  </w:style>
  <w:style w:type="character" w:customStyle="1" w:styleId="44">
    <w:name w:val="Comment Text Char"/>
    <w:basedOn w:val="11"/>
    <w:link w:val="15"/>
    <w:semiHidden/>
    <w:qFormat/>
    <w:uiPriority w:val="99"/>
  </w:style>
  <w:style w:type="character" w:customStyle="1" w:styleId="45">
    <w:name w:val="Comment Subject Char"/>
    <w:basedOn w:val="44"/>
    <w:link w:val="16"/>
    <w:semiHidden/>
    <w:qFormat/>
    <w:uiPriority w:val="99"/>
    <w:rPr>
      <w:b/>
      <w:bCs/>
    </w:rPr>
  </w:style>
  <w:style w:type="paragraph" w:customStyle="1" w:styleId="46">
    <w:name w:val="Revision1"/>
    <w:hidden/>
    <w:semiHidden/>
    <w:qFormat/>
    <w:uiPriority w:val="99"/>
    <w:rPr>
      <w:rFonts w:ascii="Times New Roman" w:hAnsi="Times New Roman" w:eastAsia="Times New Roman" w:cs="Times New Roman"/>
      <w:sz w:val="24"/>
      <w:szCs w:val="24"/>
      <w:lang w:val="en-US" w:eastAsia="en-US" w:bidi="ar-SA"/>
    </w:rPr>
  </w:style>
  <w:style w:type="character" w:customStyle="1" w:styleId="47">
    <w:name w:val="fontstyle01"/>
    <w:basedOn w:val="11"/>
    <w:qFormat/>
    <w:uiPriority w:val="0"/>
    <w:rPr>
      <w:rFonts w:hint="default" w:ascii="Times-Roman" w:hAnsi="Times-Roman"/>
      <w:color w:val="000000"/>
      <w:sz w:val="22"/>
      <w:szCs w:val="22"/>
    </w:rPr>
  </w:style>
  <w:style w:type="character" w:customStyle="1" w:styleId="48">
    <w:name w:val="Body text|2_"/>
    <w:basedOn w:val="11"/>
    <w:link w:val="49"/>
    <w:qFormat/>
    <w:uiPriority w:val="0"/>
    <w:rPr>
      <w:rFonts w:ascii="Arial" w:hAnsi="Arial" w:eastAsia="Arial" w:cs="Arial"/>
      <w:shd w:val="clear" w:color="auto" w:fill="FFFFFF"/>
    </w:rPr>
  </w:style>
  <w:style w:type="paragraph" w:customStyle="1" w:styleId="49">
    <w:name w:val="Body text|2"/>
    <w:basedOn w:val="1"/>
    <w:link w:val="48"/>
    <w:qFormat/>
    <w:uiPriority w:val="0"/>
    <w:pPr>
      <w:widowControl w:val="0"/>
      <w:shd w:val="clear" w:color="auto" w:fill="FFFFFF"/>
      <w:spacing w:after="840" w:line="490" w:lineRule="exact"/>
      <w:ind w:hanging="780"/>
      <w:jc w:val="center"/>
    </w:pPr>
    <w:rPr>
      <w:rFonts w:ascii="Arial" w:hAnsi="Arial" w:eastAsia="Arial" w:cs="Arial"/>
      <w:sz w:val="20"/>
      <w:szCs w:val="20"/>
    </w:rPr>
  </w:style>
  <w:style w:type="character" w:customStyle="1" w:styleId="50">
    <w:name w:val="Body text|2 + Italic"/>
    <w:basedOn w:val="48"/>
    <w:qFormat/>
    <w:uiPriority w:val="0"/>
    <w:rPr>
      <w:rFonts w:ascii="Arial" w:hAnsi="Arial" w:eastAsia="Arial" w:cs="Arial"/>
      <w:i/>
      <w:iCs/>
      <w:color w:val="000000"/>
      <w:spacing w:val="0"/>
      <w:w w:val="100"/>
      <w:position w:val="0"/>
      <w:sz w:val="22"/>
      <w:szCs w:val="22"/>
      <w:u w:val="none"/>
      <w:shd w:val="clear" w:color="auto" w:fill="FFFFFF"/>
      <w:lang w:val="en-US" w:eastAsia="en-US" w:bidi="en-US"/>
    </w:rPr>
  </w:style>
  <w:style w:type="paragraph" w:customStyle="1" w:styleId="51">
    <w:name w:val="B1"/>
    <w:basedOn w:val="1"/>
    <w:qFormat/>
    <w:uiPriority w:val="0"/>
    <w:pPr>
      <w:widowControl w:val="0"/>
      <w:spacing w:before="240"/>
      <w:ind w:left="1713" w:hanging="446"/>
    </w:pPr>
    <w:rPr>
      <w:szCs w:val="20"/>
    </w:rPr>
  </w:style>
  <w:style w:type="character" w:customStyle="1" w:styleId="52">
    <w:name w:val="List Paragraph Char"/>
    <w:basedOn w:val="11"/>
    <w:link w:val="36"/>
    <w:qFormat/>
    <w:locked/>
    <w:uiPriority w:val="34"/>
    <w:rPr>
      <w:sz w:val="24"/>
      <w:szCs w:val="24"/>
    </w:rPr>
  </w:style>
  <w:style w:type="table" w:customStyle="1" w:styleId="53">
    <w:name w:val="Table Grid2"/>
    <w:basedOn w:val="12"/>
    <w:qFormat/>
    <w:uiPriority w:val="39"/>
    <w:rPr>
      <w:rFonts w:asciiTheme="minorHAnsi" w:hAnsiTheme="minorHAnsi" w:eastAsia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63F504-C6F6-4DC3-BD8F-987A8885B351}">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Pages>
  <Words>1527</Words>
  <Characters>8708</Characters>
  <Lines>72</Lines>
  <Paragraphs>20</Paragraphs>
  <TotalTime>42</TotalTime>
  <ScaleCrop>false</ScaleCrop>
  <LinksUpToDate>false</LinksUpToDate>
  <CharactersWithSpaces>10215</CharactersWithSpaces>
  <Application>WPS Office_11.2.0.11380_F1E327BC-269C-435d-A152-05C5408002CA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2022-10-13T05:00:00Z</dcterms:created>
  <dc:creator>Kapeel Dev</dc:creator>
  <cp:lastModifiedBy>Oneeb Ahmed Chohan</cp:lastModifiedBy>
  <cp:lastPrinted>2022-04-12T07:32:00Z</cp:lastPrinted>
  <dcterms:modified xsi:type="dcterms:W3CDTF">2022-12-02T06:55:44Z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88FF453FC2B4495CAF2C9371EC43C39B</vt:lpwstr>
  </property>
</Properties>
</file>