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20" w:type="dxa"/>
        <w:tblInd w:w="-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6"/>
        <w:gridCol w:w="7704"/>
      </w:tblGrid>
      <w:tr w:rsidR="009F746D" w:rsidRPr="0079660A" w:rsidTr="00402215">
        <w:tc>
          <w:tcPr>
            <w:tcW w:w="18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46D" w:rsidRPr="0079660A" w:rsidRDefault="009F746D" w:rsidP="0040221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79660A">
              <w:rPr>
                <w:rFonts w:asciiTheme="majorBidi" w:hAnsiTheme="majorBidi" w:cstheme="majorBidi"/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571A5748" wp14:editId="289351A7">
                  <wp:simplePos x="0" y="0"/>
                  <wp:positionH relativeFrom="column">
                    <wp:posOffset>-220980</wp:posOffset>
                  </wp:positionH>
                  <wp:positionV relativeFrom="paragraph">
                    <wp:posOffset>-76200</wp:posOffset>
                  </wp:positionV>
                  <wp:extent cx="1114425" cy="1114425"/>
                  <wp:effectExtent l="19050" t="0" r="9525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114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746D" w:rsidRPr="0079660A" w:rsidRDefault="009F746D" w:rsidP="004022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9660A">
              <w:rPr>
                <w:rFonts w:asciiTheme="majorBidi" w:hAnsiTheme="majorBidi" w:cstheme="majorBidi"/>
                <w:sz w:val="22"/>
                <w:szCs w:val="22"/>
              </w:rPr>
              <w:t>Securities and Exchange Commission of Pakistan</w:t>
            </w:r>
          </w:p>
          <w:p w:rsidR="001305F3" w:rsidRDefault="009F746D" w:rsidP="001305F3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9660A">
              <w:rPr>
                <w:rFonts w:asciiTheme="majorBidi" w:hAnsiTheme="majorBidi" w:cstheme="majorBidi"/>
                <w:sz w:val="22"/>
                <w:szCs w:val="22"/>
              </w:rPr>
              <w:t>63-NIC Building, Blue Area, Islamabad</w:t>
            </w:r>
          </w:p>
          <w:p w:rsidR="009F746D" w:rsidRPr="0079660A" w:rsidRDefault="009F746D" w:rsidP="004022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9660A">
              <w:rPr>
                <w:rFonts w:asciiTheme="majorBidi" w:hAnsiTheme="majorBidi" w:cstheme="majorBidi"/>
                <w:sz w:val="22"/>
                <w:szCs w:val="22"/>
              </w:rPr>
              <w:t xml:space="preserve">(Administration Department) </w:t>
            </w:r>
          </w:p>
          <w:p w:rsidR="009F746D" w:rsidRPr="0079660A" w:rsidRDefault="009F746D" w:rsidP="004022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9660A">
              <w:rPr>
                <w:rFonts w:asciiTheme="majorBidi" w:hAnsiTheme="majorBidi" w:cstheme="majorBidi"/>
                <w:sz w:val="22"/>
                <w:szCs w:val="22"/>
              </w:rPr>
              <w:t>*******</w:t>
            </w:r>
          </w:p>
        </w:tc>
      </w:tr>
    </w:tbl>
    <w:p w:rsidR="009F746D" w:rsidRPr="0079660A" w:rsidRDefault="009F746D" w:rsidP="009F746D">
      <w:pPr>
        <w:rPr>
          <w:rFonts w:asciiTheme="majorBidi" w:hAnsiTheme="majorBidi" w:cstheme="majorBidi"/>
          <w:sz w:val="22"/>
          <w:szCs w:val="22"/>
        </w:rPr>
      </w:pPr>
    </w:p>
    <w:p w:rsidR="009F746D" w:rsidRPr="0079660A" w:rsidRDefault="009F746D" w:rsidP="009F746D">
      <w:pPr>
        <w:jc w:val="right"/>
        <w:rPr>
          <w:rFonts w:asciiTheme="majorBidi" w:hAnsiTheme="majorBidi" w:cstheme="majorBidi"/>
          <w:sz w:val="22"/>
          <w:szCs w:val="22"/>
        </w:rPr>
      </w:pPr>
      <w:r w:rsidRPr="0079660A">
        <w:rPr>
          <w:rFonts w:asciiTheme="majorBidi" w:hAnsiTheme="majorBidi" w:cstheme="majorBidi"/>
          <w:b/>
          <w:sz w:val="22"/>
          <w:szCs w:val="22"/>
        </w:rPr>
        <w:tab/>
      </w:r>
      <w:r w:rsidRPr="0079660A">
        <w:rPr>
          <w:rFonts w:asciiTheme="majorBidi" w:hAnsiTheme="majorBidi" w:cstheme="majorBidi"/>
          <w:b/>
          <w:sz w:val="22"/>
          <w:szCs w:val="22"/>
        </w:rPr>
        <w:tab/>
      </w:r>
      <w:r w:rsidRPr="0079660A">
        <w:rPr>
          <w:rFonts w:asciiTheme="majorBidi" w:hAnsiTheme="majorBidi" w:cstheme="majorBidi"/>
          <w:b/>
          <w:sz w:val="22"/>
          <w:szCs w:val="22"/>
        </w:rPr>
        <w:tab/>
      </w:r>
      <w:r w:rsidRPr="0079660A">
        <w:rPr>
          <w:rFonts w:asciiTheme="majorBidi" w:hAnsiTheme="majorBidi" w:cstheme="majorBidi"/>
          <w:b/>
          <w:sz w:val="22"/>
          <w:szCs w:val="22"/>
        </w:rPr>
        <w:tab/>
        <w:t xml:space="preserve">                          </w:t>
      </w:r>
    </w:p>
    <w:p w:rsidR="003426B3" w:rsidRPr="0079660A" w:rsidRDefault="009F746D" w:rsidP="008D2DD7">
      <w:pPr>
        <w:ind w:left="900" w:hanging="900"/>
        <w:jc w:val="both"/>
        <w:rPr>
          <w:rFonts w:asciiTheme="majorBidi" w:hAnsiTheme="majorBidi" w:cstheme="majorBidi"/>
          <w:b/>
          <w:bCs/>
          <w:sz w:val="22"/>
          <w:szCs w:val="22"/>
          <w:u w:val="single"/>
        </w:rPr>
      </w:pPr>
      <w:r w:rsidRPr="0079660A">
        <w:rPr>
          <w:rFonts w:asciiTheme="majorBidi" w:hAnsiTheme="majorBidi" w:cstheme="majorBidi"/>
          <w:b/>
          <w:bCs/>
          <w:sz w:val="22"/>
          <w:szCs w:val="22"/>
        </w:rPr>
        <w:t xml:space="preserve">Subject: </w:t>
      </w:r>
      <w:r w:rsidRPr="0079660A">
        <w:rPr>
          <w:rFonts w:asciiTheme="majorBidi" w:hAnsiTheme="majorBidi" w:cstheme="majorBidi"/>
          <w:b/>
          <w:bCs/>
          <w:sz w:val="22"/>
          <w:szCs w:val="22"/>
          <w:u w:val="single"/>
        </w:rPr>
        <w:t xml:space="preserve">Quotation required for </w:t>
      </w:r>
      <w:r w:rsidR="0079625B" w:rsidRPr="0079660A">
        <w:rPr>
          <w:rFonts w:asciiTheme="majorBidi" w:hAnsiTheme="majorBidi" w:cstheme="majorBidi"/>
          <w:b/>
          <w:bCs/>
          <w:sz w:val="22"/>
          <w:szCs w:val="22"/>
          <w:u w:val="single"/>
        </w:rPr>
        <w:t>Purchase of Furniture</w:t>
      </w:r>
      <w:r w:rsidR="008D2DD7">
        <w:rPr>
          <w:rFonts w:asciiTheme="majorBidi" w:hAnsiTheme="majorBidi" w:cstheme="majorBidi"/>
          <w:b/>
          <w:bCs/>
          <w:sz w:val="22"/>
          <w:szCs w:val="22"/>
          <w:u w:val="single"/>
        </w:rPr>
        <w:t xml:space="preserve"> Items</w:t>
      </w:r>
      <w:r w:rsidR="0079625B" w:rsidRPr="0079660A">
        <w:rPr>
          <w:rFonts w:asciiTheme="majorBidi" w:hAnsiTheme="majorBidi" w:cstheme="majorBidi"/>
          <w:b/>
          <w:bCs/>
          <w:sz w:val="22"/>
          <w:szCs w:val="22"/>
          <w:u w:val="single"/>
        </w:rPr>
        <w:t xml:space="preserve"> </w:t>
      </w:r>
      <w:r w:rsidR="0079660A" w:rsidRPr="0079660A">
        <w:rPr>
          <w:rFonts w:asciiTheme="majorBidi" w:hAnsiTheme="majorBidi" w:cstheme="majorBidi"/>
          <w:b/>
          <w:bCs/>
          <w:sz w:val="22"/>
          <w:szCs w:val="22"/>
          <w:u w:val="single"/>
        </w:rPr>
        <w:t xml:space="preserve">for </w:t>
      </w:r>
      <w:r w:rsidR="00E52964" w:rsidRPr="0079660A">
        <w:rPr>
          <w:rFonts w:asciiTheme="majorBidi" w:hAnsiTheme="majorBidi" w:cstheme="majorBidi"/>
          <w:b/>
          <w:bCs/>
          <w:sz w:val="22"/>
          <w:szCs w:val="22"/>
          <w:u w:val="single"/>
        </w:rPr>
        <w:t xml:space="preserve">SECP`s office at </w:t>
      </w:r>
      <w:proofErr w:type="spellStart"/>
      <w:r w:rsidR="001F3AEB" w:rsidRPr="0079660A">
        <w:rPr>
          <w:rFonts w:asciiTheme="majorBidi" w:hAnsiTheme="majorBidi" w:cstheme="majorBidi"/>
          <w:b/>
          <w:bCs/>
          <w:sz w:val="22"/>
          <w:szCs w:val="22"/>
          <w:u w:val="single"/>
        </w:rPr>
        <w:t>Gilgi</w:t>
      </w:r>
      <w:r w:rsidR="003426B3" w:rsidRPr="0079660A">
        <w:rPr>
          <w:rFonts w:asciiTheme="majorBidi" w:hAnsiTheme="majorBidi" w:cstheme="majorBidi"/>
          <w:b/>
          <w:bCs/>
          <w:sz w:val="22"/>
          <w:szCs w:val="22"/>
          <w:u w:val="single"/>
        </w:rPr>
        <w:t>t</w:t>
      </w:r>
      <w:proofErr w:type="spellEnd"/>
      <w:r w:rsidR="003426B3" w:rsidRPr="0079660A">
        <w:rPr>
          <w:rFonts w:asciiTheme="majorBidi" w:hAnsiTheme="majorBidi" w:cstheme="majorBidi"/>
          <w:b/>
          <w:bCs/>
          <w:sz w:val="22"/>
          <w:szCs w:val="22"/>
          <w:u w:val="single"/>
        </w:rPr>
        <w:t>-</w:t>
      </w:r>
      <w:r w:rsidR="007A5331" w:rsidRPr="0079660A">
        <w:rPr>
          <w:rFonts w:asciiTheme="majorBidi" w:hAnsiTheme="majorBidi" w:cstheme="majorBidi"/>
          <w:b/>
          <w:bCs/>
          <w:sz w:val="22"/>
          <w:szCs w:val="22"/>
          <w:u w:val="single"/>
        </w:rPr>
        <w:t>B</w:t>
      </w:r>
      <w:r w:rsidR="00AD1A82" w:rsidRPr="0079660A">
        <w:rPr>
          <w:rFonts w:asciiTheme="majorBidi" w:hAnsiTheme="majorBidi" w:cstheme="majorBidi"/>
          <w:b/>
          <w:bCs/>
          <w:sz w:val="22"/>
          <w:szCs w:val="22"/>
          <w:u w:val="single"/>
        </w:rPr>
        <w:t>a</w:t>
      </w:r>
      <w:r w:rsidR="003426B3" w:rsidRPr="0079660A">
        <w:rPr>
          <w:rFonts w:asciiTheme="majorBidi" w:hAnsiTheme="majorBidi" w:cstheme="majorBidi"/>
          <w:b/>
          <w:bCs/>
          <w:sz w:val="22"/>
          <w:szCs w:val="22"/>
          <w:u w:val="single"/>
        </w:rPr>
        <w:t>l</w:t>
      </w:r>
      <w:r w:rsidR="00AD1A82" w:rsidRPr="0079660A">
        <w:rPr>
          <w:rFonts w:asciiTheme="majorBidi" w:hAnsiTheme="majorBidi" w:cstheme="majorBidi"/>
          <w:b/>
          <w:bCs/>
          <w:sz w:val="22"/>
          <w:szCs w:val="22"/>
          <w:u w:val="single"/>
        </w:rPr>
        <w:t>t</w:t>
      </w:r>
      <w:r w:rsidR="003426B3" w:rsidRPr="0079660A">
        <w:rPr>
          <w:rFonts w:asciiTheme="majorBidi" w:hAnsiTheme="majorBidi" w:cstheme="majorBidi"/>
          <w:b/>
          <w:bCs/>
          <w:sz w:val="22"/>
          <w:szCs w:val="22"/>
          <w:u w:val="single"/>
        </w:rPr>
        <w:t>istan</w:t>
      </w:r>
      <w:r w:rsidR="007A5331" w:rsidRPr="0079660A">
        <w:rPr>
          <w:rFonts w:asciiTheme="majorBidi" w:hAnsiTheme="majorBidi" w:cstheme="majorBidi"/>
          <w:b/>
          <w:bCs/>
          <w:sz w:val="22"/>
          <w:szCs w:val="22"/>
          <w:u w:val="single"/>
        </w:rPr>
        <w:t>.</w:t>
      </w:r>
    </w:p>
    <w:p w:rsidR="009F746D" w:rsidRPr="0079660A" w:rsidRDefault="009F746D" w:rsidP="009F746D">
      <w:pPr>
        <w:rPr>
          <w:rFonts w:asciiTheme="majorBidi" w:hAnsiTheme="majorBidi" w:cstheme="majorBidi"/>
          <w:b/>
          <w:bCs/>
          <w:sz w:val="22"/>
          <w:szCs w:val="22"/>
        </w:rPr>
      </w:pPr>
    </w:p>
    <w:p w:rsidR="00E52964" w:rsidRPr="0079660A" w:rsidRDefault="009F746D" w:rsidP="008D2DD7">
      <w:pPr>
        <w:jc w:val="both"/>
        <w:rPr>
          <w:rFonts w:asciiTheme="majorBidi" w:hAnsiTheme="majorBidi" w:cstheme="majorBidi"/>
          <w:sz w:val="22"/>
          <w:szCs w:val="22"/>
        </w:rPr>
      </w:pPr>
      <w:r w:rsidRPr="0079660A">
        <w:rPr>
          <w:rFonts w:asciiTheme="majorBidi" w:hAnsiTheme="majorBidi" w:cstheme="majorBidi"/>
          <w:sz w:val="22"/>
          <w:szCs w:val="22"/>
        </w:rPr>
        <w:t>The Securities and Exchange Commission of Pakistan invites sealed quotations from well reputed and financially sound firms/contractors for</w:t>
      </w:r>
      <w:r w:rsidR="0079660A">
        <w:rPr>
          <w:rFonts w:asciiTheme="majorBidi" w:hAnsiTheme="majorBidi" w:cstheme="majorBidi"/>
          <w:sz w:val="22"/>
          <w:szCs w:val="22"/>
        </w:rPr>
        <w:t xml:space="preserve"> purchase of</w:t>
      </w:r>
      <w:r w:rsidRPr="0079660A">
        <w:rPr>
          <w:rFonts w:asciiTheme="majorBidi" w:hAnsiTheme="majorBidi" w:cstheme="majorBidi"/>
          <w:sz w:val="22"/>
          <w:szCs w:val="22"/>
        </w:rPr>
        <w:t xml:space="preserve"> </w:t>
      </w:r>
      <w:r w:rsidR="00E52964" w:rsidRPr="0079660A">
        <w:rPr>
          <w:rFonts w:asciiTheme="majorBidi" w:hAnsiTheme="majorBidi" w:cstheme="majorBidi"/>
          <w:sz w:val="22"/>
          <w:szCs w:val="22"/>
        </w:rPr>
        <w:t xml:space="preserve">Furniture &amp; Fixture items for </w:t>
      </w:r>
      <w:r w:rsidR="0079660A">
        <w:rPr>
          <w:rFonts w:asciiTheme="majorBidi" w:hAnsiTheme="majorBidi" w:cstheme="majorBidi"/>
          <w:sz w:val="22"/>
          <w:szCs w:val="22"/>
        </w:rPr>
        <w:t>its o</w:t>
      </w:r>
      <w:r w:rsidR="00E52964" w:rsidRPr="0079660A">
        <w:rPr>
          <w:rFonts w:asciiTheme="majorBidi" w:hAnsiTheme="majorBidi" w:cstheme="majorBidi"/>
          <w:sz w:val="22"/>
          <w:szCs w:val="22"/>
        </w:rPr>
        <w:t xml:space="preserve">ffice at </w:t>
      </w:r>
      <w:proofErr w:type="spellStart"/>
      <w:r w:rsidR="00E52964" w:rsidRPr="0079660A">
        <w:rPr>
          <w:rFonts w:asciiTheme="majorBidi" w:hAnsiTheme="majorBidi" w:cstheme="majorBidi"/>
          <w:sz w:val="22"/>
          <w:szCs w:val="22"/>
        </w:rPr>
        <w:t>Gilgit</w:t>
      </w:r>
      <w:proofErr w:type="spellEnd"/>
      <w:r w:rsidR="00E52964" w:rsidRPr="0079660A">
        <w:rPr>
          <w:rFonts w:asciiTheme="majorBidi" w:hAnsiTheme="majorBidi" w:cstheme="majorBidi"/>
          <w:sz w:val="22"/>
          <w:szCs w:val="22"/>
        </w:rPr>
        <w:t>-Baltistan.</w:t>
      </w:r>
    </w:p>
    <w:p w:rsidR="009F746D" w:rsidRPr="0079660A" w:rsidRDefault="009F746D" w:rsidP="00E52964">
      <w:pPr>
        <w:jc w:val="both"/>
        <w:rPr>
          <w:rFonts w:asciiTheme="majorBidi" w:hAnsiTheme="majorBidi" w:cstheme="majorBidi"/>
          <w:sz w:val="22"/>
          <w:szCs w:val="22"/>
        </w:rPr>
      </w:pPr>
    </w:p>
    <w:p w:rsidR="009F746D" w:rsidRPr="0079660A" w:rsidRDefault="009F746D" w:rsidP="00E52964">
      <w:pPr>
        <w:rPr>
          <w:rFonts w:asciiTheme="majorBidi" w:hAnsiTheme="majorBidi" w:cstheme="majorBidi"/>
          <w:b/>
          <w:bCs/>
          <w:sz w:val="22"/>
          <w:szCs w:val="22"/>
          <w:u w:val="single"/>
        </w:rPr>
      </w:pPr>
      <w:r w:rsidRPr="0079660A">
        <w:rPr>
          <w:rFonts w:asciiTheme="majorBidi" w:hAnsiTheme="majorBidi" w:cstheme="majorBidi"/>
          <w:sz w:val="22"/>
          <w:szCs w:val="22"/>
          <w:u w:val="single"/>
        </w:rPr>
        <w:t>Detail Terms of Reference (TOR’s)</w:t>
      </w:r>
      <w:r w:rsidR="00E52964" w:rsidRPr="0079660A">
        <w:rPr>
          <w:rFonts w:asciiTheme="majorBidi" w:hAnsiTheme="majorBidi" w:cstheme="majorBidi"/>
          <w:sz w:val="22"/>
          <w:szCs w:val="22"/>
          <w:u w:val="single"/>
        </w:rPr>
        <w:t>/Specifications</w:t>
      </w:r>
      <w:r w:rsidRPr="0079660A">
        <w:rPr>
          <w:rFonts w:asciiTheme="majorBidi" w:hAnsiTheme="majorBidi" w:cstheme="majorBidi"/>
          <w:sz w:val="22"/>
          <w:szCs w:val="22"/>
          <w:u w:val="single"/>
        </w:rPr>
        <w:t xml:space="preserve"> </w:t>
      </w:r>
      <w:r w:rsidR="00E52964" w:rsidRPr="0079660A">
        <w:rPr>
          <w:rFonts w:asciiTheme="majorBidi" w:hAnsiTheme="majorBidi" w:cstheme="majorBidi"/>
          <w:sz w:val="22"/>
          <w:szCs w:val="22"/>
          <w:u w:val="single"/>
        </w:rPr>
        <w:t>are attached as</w:t>
      </w:r>
      <w:r w:rsidRPr="0079660A">
        <w:rPr>
          <w:rFonts w:asciiTheme="majorBidi" w:hAnsiTheme="majorBidi" w:cstheme="majorBidi"/>
          <w:b/>
          <w:bCs/>
          <w:sz w:val="22"/>
          <w:szCs w:val="22"/>
          <w:u w:val="single"/>
        </w:rPr>
        <w:t xml:space="preserve"> Annex “A”.</w:t>
      </w:r>
    </w:p>
    <w:p w:rsidR="00E52964" w:rsidRPr="0079660A" w:rsidRDefault="00E52964" w:rsidP="009F746D">
      <w:pPr>
        <w:jc w:val="both"/>
        <w:rPr>
          <w:rFonts w:asciiTheme="majorBidi" w:hAnsiTheme="majorBidi" w:cstheme="majorBidi"/>
          <w:b/>
          <w:bCs/>
          <w:sz w:val="22"/>
          <w:szCs w:val="22"/>
          <w:u w:val="single"/>
        </w:rPr>
      </w:pPr>
    </w:p>
    <w:p w:rsidR="009F746D" w:rsidRPr="0079660A" w:rsidRDefault="00E52964" w:rsidP="009F746D">
      <w:pPr>
        <w:jc w:val="both"/>
        <w:rPr>
          <w:rFonts w:asciiTheme="majorBidi" w:hAnsiTheme="majorBidi" w:cstheme="majorBidi"/>
          <w:sz w:val="22"/>
          <w:szCs w:val="22"/>
        </w:rPr>
      </w:pPr>
      <w:r w:rsidRPr="0079660A">
        <w:rPr>
          <w:rFonts w:asciiTheme="majorBidi" w:hAnsiTheme="majorBidi" w:cstheme="majorBidi"/>
          <w:sz w:val="22"/>
          <w:szCs w:val="22"/>
        </w:rPr>
        <w:t>Terms and Conditions:</w:t>
      </w:r>
    </w:p>
    <w:p w:rsidR="00E52964" w:rsidRPr="0079660A" w:rsidRDefault="00E52964" w:rsidP="009F746D">
      <w:pPr>
        <w:jc w:val="both"/>
        <w:rPr>
          <w:rFonts w:asciiTheme="majorBidi" w:hAnsiTheme="majorBidi" w:cstheme="majorBidi"/>
          <w:sz w:val="22"/>
          <w:szCs w:val="22"/>
        </w:rPr>
      </w:pPr>
    </w:p>
    <w:p w:rsidR="009F746D" w:rsidRPr="0079660A" w:rsidRDefault="009F746D" w:rsidP="00E52964">
      <w:pPr>
        <w:pStyle w:val="ListParagraph"/>
        <w:numPr>
          <w:ilvl w:val="0"/>
          <w:numId w:val="1"/>
        </w:numPr>
        <w:ind w:hanging="720"/>
        <w:jc w:val="both"/>
        <w:rPr>
          <w:rFonts w:asciiTheme="majorBidi" w:hAnsiTheme="majorBidi" w:cstheme="majorBidi"/>
          <w:bCs/>
          <w:sz w:val="22"/>
          <w:szCs w:val="22"/>
        </w:rPr>
      </w:pPr>
      <w:r w:rsidRPr="0079660A">
        <w:rPr>
          <w:rFonts w:asciiTheme="majorBidi" w:hAnsiTheme="majorBidi" w:cstheme="majorBidi"/>
          <w:bCs/>
          <w:sz w:val="22"/>
          <w:szCs w:val="22"/>
        </w:rPr>
        <w:t>Price must be inclusive of all taxes applicable by Govt. of Pakistan.</w:t>
      </w:r>
    </w:p>
    <w:p w:rsidR="00A95CE3" w:rsidRPr="00A95CE3" w:rsidRDefault="009F746D" w:rsidP="008D2DD7">
      <w:pPr>
        <w:pStyle w:val="ListParagraph"/>
        <w:numPr>
          <w:ilvl w:val="0"/>
          <w:numId w:val="1"/>
        </w:numPr>
        <w:ind w:hanging="720"/>
        <w:jc w:val="both"/>
        <w:rPr>
          <w:rFonts w:asciiTheme="majorBidi" w:hAnsiTheme="majorBidi" w:cstheme="majorBidi"/>
          <w:sz w:val="22"/>
          <w:szCs w:val="22"/>
        </w:rPr>
      </w:pPr>
      <w:r w:rsidRPr="0079660A">
        <w:rPr>
          <w:rFonts w:asciiTheme="majorBidi" w:hAnsiTheme="majorBidi" w:cstheme="majorBidi"/>
          <w:bCs/>
          <w:sz w:val="22"/>
          <w:szCs w:val="22"/>
        </w:rPr>
        <w:t>Quotation Validity</w:t>
      </w:r>
      <w:r w:rsidR="00A95CE3">
        <w:rPr>
          <w:rFonts w:asciiTheme="majorBidi" w:hAnsiTheme="majorBidi" w:cstheme="majorBidi"/>
          <w:bCs/>
          <w:sz w:val="22"/>
          <w:szCs w:val="22"/>
        </w:rPr>
        <w:t>:</w:t>
      </w:r>
      <w:r w:rsidRPr="0079660A">
        <w:rPr>
          <w:rFonts w:asciiTheme="majorBidi" w:hAnsiTheme="majorBidi" w:cstheme="majorBidi"/>
          <w:bCs/>
          <w:sz w:val="22"/>
          <w:szCs w:val="22"/>
        </w:rPr>
        <w:t xml:space="preserve"> </w:t>
      </w:r>
      <w:r w:rsidRPr="0079660A">
        <w:rPr>
          <w:rFonts w:asciiTheme="majorBidi" w:hAnsiTheme="majorBidi" w:cstheme="majorBidi"/>
          <w:sz w:val="22"/>
          <w:szCs w:val="22"/>
        </w:rPr>
        <w:t>Minimum 30 Days from last date to receive quotations as per SECP Website:</w:t>
      </w:r>
      <w:r w:rsidR="00A95CE3" w:rsidRPr="00A95CE3">
        <w:t xml:space="preserve"> </w:t>
      </w:r>
      <w:hyperlink r:id="rId7" w:history="1">
        <w:r w:rsidR="00A95CE3" w:rsidRPr="00A95CE3">
          <w:rPr>
            <w:rStyle w:val="Hyperlink"/>
            <w:rFonts w:asciiTheme="majorBidi" w:hAnsiTheme="majorBidi" w:cstheme="majorBidi"/>
            <w:sz w:val="22"/>
            <w:szCs w:val="22"/>
          </w:rPr>
          <w:t>https://www.secp.gov.pk/procurement/</w:t>
        </w:r>
      </w:hyperlink>
    </w:p>
    <w:p w:rsidR="009F746D" w:rsidRPr="0079660A" w:rsidRDefault="009F746D" w:rsidP="00E52964">
      <w:pPr>
        <w:pStyle w:val="ListParagraph"/>
        <w:numPr>
          <w:ilvl w:val="0"/>
          <w:numId w:val="1"/>
        </w:numPr>
        <w:ind w:hanging="720"/>
        <w:jc w:val="both"/>
        <w:rPr>
          <w:rFonts w:asciiTheme="majorBidi" w:hAnsiTheme="majorBidi" w:cstheme="majorBidi"/>
          <w:bCs/>
          <w:sz w:val="22"/>
          <w:szCs w:val="22"/>
        </w:rPr>
      </w:pPr>
      <w:r w:rsidRPr="0079660A">
        <w:rPr>
          <w:rFonts w:asciiTheme="majorBidi" w:hAnsiTheme="majorBidi" w:cstheme="majorBidi"/>
          <w:bCs/>
          <w:sz w:val="22"/>
          <w:szCs w:val="22"/>
        </w:rPr>
        <w:t>Quotation</w:t>
      </w:r>
      <w:r w:rsidR="00E52964" w:rsidRPr="0079660A">
        <w:rPr>
          <w:rFonts w:asciiTheme="majorBidi" w:hAnsiTheme="majorBidi" w:cstheme="majorBidi"/>
          <w:bCs/>
          <w:sz w:val="22"/>
          <w:szCs w:val="22"/>
        </w:rPr>
        <w:t xml:space="preserve"> must</w:t>
      </w:r>
      <w:r w:rsidR="00E52964" w:rsidRPr="0079660A">
        <w:rPr>
          <w:rFonts w:asciiTheme="majorBidi" w:hAnsiTheme="majorBidi" w:cstheme="majorBidi"/>
          <w:b/>
          <w:sz w:val="22"/>
          <w:szCs w:val="22"/>
        </w:rPr>
        <w:t xml:space="preserve"> </w:t>
      </w:r>
      <w:r w:rsidR="00E52964" w:rsidRPr="0079660A">
        <w:rPr>
          <w:rFonts w:asciiTheme="majorBidi" w:hAnsiTheme="majorBidi" w:cstheme="majorBidi"/>
          <w:bCs/>
          <w:sz w:val="22"/>
          <w:szCs w:val="22"/>
        </w:rPr>
        <w:t>be submitted</w:t>
      </w:r>
      <w:r w:rsidRPr="0079660A">
        <w:rPr>
          <w:rFonts w:asciiTheme="majorBidi" w:hAnsiTheme="majorBidi" w:cstheme="majorBidi"/>
          <w:sz w:val="22"/>
          <w:szCs w:val="22"/>
        </w:rPr>
        <w:t xml:space="preserve"> </w:t>
      </w:r>
      <w:r w:rsidR="00E52964" w:rsidRPr="0079660A">
        <w:rPr>
          <w:rFonts w:asciiTheme="majorBidi" w:hAnsiTheme="majorBidi" w:cstheme="majorBidi"/>
          <w:sz w:val="22"/>
          <w:szCs w:val="22"/>
        </w:rPr>
        <w:t xml:space="preserve">before last date, </w:t>
      </w:r>
      <w:r w:rsidRPr="0079660A">
        <w:rPr>
          <w:rFonts w:asciiTheme="majorBidi" w:hAnsiTheme="majorBidi" w:cstheme="majorBidi"/>
          <w:sz w:val="22"/>
          <w:szCs w:val="22"/>
        </w:rPr>
        <w:t>mentioned on SECP website.</w:t>
      </w:r>
    </w:p>
    <w:p w:rsidR="009F746D" w:rsidRPr="0079660A" w:rsidRDefault="009F746D" w:rsidP="00E52964">
      <w:pPr>
        <w:pStyle w:val="ListParagraph"/>
        <w:numPr>
          <w:ilvl w:val="0"/>
          <w:numId w:val="1"/>
        </w:numPr>
        <w:ind w:hanging="720"/>
        <w:jc w:val="both"/>
        <w:rPr>
          <w:rFonts w:asciiTheme="majorBidi" w:hAnsiTheme="majorBidi" w:cstheme="majorBidi"/>
          <w:sz w:val="22"/>
          <w:szCs w:val="22"/>
        </w:rPr>
      </w:pPr>
      <w:r w:rsidRPr="0079660A">
        <w:rPr>
          <w:rFonts w:asciiTheme="majorBidi" w:hAnsiTheme="majorBidi" w:cstheme="majorBidi"/>
          <w:bCs/>
          <w:sz w:val="22"/>
          <w:szCs w:val="22"/>
        </w:rPr>
        <w:t>Quantity</w:t>
      </w:r>
      <w:r w:rsidR="00FE2D7F" w:rsidRPr="0079660A">
        <w:rPr>
          <w:rFonts w:asciiTheme="majorBidi" w:hAnsiTheme="majorBidi" w:cstheme="majorBidi"/>
          <w:b/>
          <w:sz w:val="22"/>
          <w:szCs w:val="22"/>
        </w:rPr>
        <w:t xml:space="preserve"> </w:t>
      </w:r>
      <w:r w:rsidRPr="0079660A">
        <w:rPr>
          <w:rFonts w:asciiTheme="majorBidi" w:hAnsiTheme="majorBidi" w:cstheme="majorBidi"/>
          <w:sz w:val="22"/>
          <w:szCs w:val="22"/>
        </w:rPr>
        <w:t>required may increase or decrease.</w:t>
      </w:r>
    </w:p>
    <w:p w:rsidR="00E52964" w:rsidRPr="0079660A" w:rsidRDefault="00E52964" w:rsidP="00E52964">
      <w:pPr>
        <w:pStyle w:val="ListParagraph"/>
        <w:numPr>
          <w:ilvl w:val="0"/>
          <w:numId w:val="1"/>
        </w:numPr>
        <w:ind w:hanging="720"/>
        <w:jc w:val="both"/>
        <w:rPr>
          <w:rFonts w:asciiTheme="majorBidi" w:hAnsiTheme="majorBidi" w:cstheme="majorBidi"/>
          <w:sz w:val="22"/>
          <w:szCs w:val="22"/>
        </w:rPr>
      </w:pPr>
      <w:r w:rsidRPr="0079660A">
        <w:rPr>
          <w:rFonts w:asciiTheme="majorBidi" w:hAnsiTheme="majorBidi" w:cstheme="majorBidi"/>
          <w:sz w:val="22"/>
          <w:szCs w:val="22"/>
        </w:rPr>
        <w:t>SECP has the right to amend the requirement/size etc.</w:t>
      </w:r>
    </w:p>
    <w:p w:rsidR="00E52964" w:rsidRPr="0079660A" w:rsidRDefault="00E52964" w:rsidP="004C417F">
      <w:pPr>
        <w:pStyle w:val="ListParagraph"/>
        <w:numPr>
          <w:ilvl w:val="0"/>
          <w:numId w:val="1"/>
        </w:numPr>
        <w:ind w:hanging="720"/>
        <w:jc w:val="both"/>
        <w:rPr>
          <w:rFonts w:asciiTheme="majorBidi" w:hAnsiTheme="majorBidi" w:cstheme="majorBidi"/>
          <w:sz w:val="22"/>
          <w:szCs w:val="22"/>
        </w:rPr>
      </w:pPr>
      <w:r w:rsidRPr="0079660A">
        <w:rPr>
          <w:rFonts w:asciiTheme="majorBidi" w:hAnsiTheme="majorBidi" w:cstheme="majorBidi"/>
          <w:sz w:val="22"/>
          <w:szCs w:val="22"/>
        </w:rPr>
        <w:t>3% of Project value will be withheld as retention amount for three months period</w:t>
      </w:r>
      <w:r w:rsidR="004C417F">
        <w:rPr>
          <w:rFonts w:asciiTheme="majorBidi" w:hAnsiTheme="majorBidi" w:cstheme="majorBidi"/>
          <w:sz w:val="22"/>
          <w:szCs w:val="22"/>
        </w:rPr>
        <w:t xml:space="preserve">. </w:t>
      </w:r>
      <w:r w:rsidRPr="0079660A">
        <w:rPr>
          <w:rFonts w:asciiTheme="majorBidi" w:hAnsiTheme="majorBidi" w:cstheme="majorBidi"/>
          <w:sz w:val="22"/>
          <w:szCs w:val="22"/>
        </w:rPr>
        <w:t xml:space="preserve"> </w:t>
      </w:r>
    </w:p>
    <w:p w:rsidR="00E52964" w:rsidRPr="0079660A" w:rsidRDefault="00E52964" w:rsidP="00E52964">
      <w:pPr>
        <w:pStyle w:val="ListParagraph"/>
        <w:numPr>
          <w:ilvl w:val="0"/>
          <w:numId w:val="1"/>
        </w:numPr>
        <w:ind w:hanging="720"/>
        <w:jc w:val="both"/>
        <w:rPr>
          <w:rFonts w:asciiTheme="majorBidi" w:hAnsiTheme="majorBidi" w:cstheme="majorBidi"/>
          <w:sz w:val="22"/>
          <w:szCs w:val="22"/>
        </w:rPr>
      </w:pPr>
      <w:r w:rsidRPr="0079660A">
        <w:rPr>
          <w:rFonts w:asciiTheme="majorBidi" w:hAnsiTheme="majorBidi" w:cstheme="majorBidi"/>
          <w:sz w:val="22"/>
          <w:szCs w:val="22"/>
        </w:rPr>
        <w:t xml:space="preserve">Sample of all items may be seen by visiting SECP headquarters during office hours.   </w:t>
      </w:r>
    </w:p>
    <w:p w:rsidR="00E52964" w:rsidRPr="0079660A" w:rsidRDefault="00E52964" w:rsidP="004C417F">
      <w:pPr>
        <w:pStyle w:val="ListParagraph"/>
        <w:numPr>
          <w:ilvl w:val="0"/>
          <w:numId w:val="1"/>
        </w:numPr>
        <w:ind w:hanging="720"/>
        <w:jc w:val="both"/>
        <w:rPr>
          <w:rFonts w:asciiTheme="majorBidi" w:hAnsiTheme="majorBidi" w:cstheme="majorBidi"/>
          <w:sz w:val="22"/>
          <w:szCs w:val="22"/>
        </w:rPr>
      </w:pPr>
      <w:r w:rsidRPr="0079660A">
        <w:rPr>
          <w:rFonts w:asciiTheme="majorBidi" w:hAnsiTheme="majorBidi" w:cstheme="majorBidi"/>
          <w:sz w:val="22"/>
          <w:szCs w:val="22"/>
        </w:rPr>
        <w:t xml:space="preserve">Delivery of these items would be required in Gilgit. </w:t>
      </w:r>
      <w:r w:rsidR="004C417F">
        <w:rPr>
          <w:rFonts w:asciiTheme="majorBidi" w:hAnsiTheme="majorBidi" w:cstheme="majorBidi"/>
          <w:sz w:val="22"/>
          <w:szCs w:val="22"/>
        </w:rPr>
        <w:t>Few items</w:t>
      </w:r>
      <w:r w:rsidR="008D2DD7">
        <w:rPr>
          <w:rFonts w:asciiTheme="majorBidi" w:hAnsiTheme="majorBidi" w:cstheme="majorBidi"/>
          <w:sz w:val="22"/>
          <w:szCs w:val="22"/>
        </w:rPr>
        <w:t xml:space="preserve"> like Refrigerator, Microwave ov</w:t>
      </w:r>
      <w:r w:rsidR="004C417F">
        <w:rPr>
          <w:rFonts w:asciiTheme="majorBidi" w:hAnsiTheme="majorBidi" w:cstheme="majorBidi"/>
          <w:sz w:val="22"/>
          <w:szCs w:val="22"/>
        </w:rPr>
        <w:t xml:space="preserve">en and water dispenser will be provided by the Client and also transported in the same truck/mazda. </w:t>
      </w:r>
      <w:r w:rsidR="004C417F" w:rsidRPr="0079660A">
        <w:rPr>
          <w:rFonts w:asciiTheme="majorBidi" w:hAnsiTheme="majorBidi" w:cstheme="majorBidi"/>
          <w:sz w:val="22"/>
          <w:szCs w:val="22"/>
        </w:rPr>
        <w:t>Therefore, transportation cost (if any) should be included in the financial proposals.</w:t>
      </w:r>
    </w:p>
    <w:p w:rsidR="009F746D" w:rsidRPr="00A95CE3" w:rsidRDefault="009F746D" w:rsidP="00A95CE3">
      <w:pPr>
        <w:jc w:val="both"/>
        <w:rPr>
          <w:rFonts w:asciiTheme="majorBidi" w:hAnsiTheme="majorBidi" w:cstheme="majorBidi"/>
          <w:sz w:val="22"/>
          <w:szCs w:val="22"/>
        </w:rPr>
      </w:pPr>
    </w:p>
    <w:p w:rsidR="009F746D" w:rsidRPr="0079660A" w:rsidRDefault="009F746D" w:rsidP="009F746D">
      <w:pPr>
        <w:tabs>
          <w:tab w:val="left" w:pos="0"/>
        </w:tabs>
        <w:spacing w:before="40" w:after="40"/>
        <w:ind w:right="29"/>
        <w:jc w:val="both"/>
        <w:rPr>
          <w:rFonts w:asciiTheme="majorBidi" w:hAnsiTheme="majorBidi" w:cstheme="majorBidi"/>
          <w:b/>
          <w:bCs/>
          <w:sz w:val="22"/>
          <w:szCs w:val="22"/>
        </w:rPr>
      </w:pPr>
      <w:r w:rsidRPr="0079660A">
        <w:rPr>
          <w:rFonts w:asciiTheme="majorBidi" w:hAnsiTheme="majorBidi" w:cstheme="majorBidi"/>
          <w:b/>
          <w:bCs/>
          <w:sz w:val="22"/>
          <w:szCs w:val="22"/>
        </w:rPr>
        <w:t xml:space="preserve">If you are interested, you may submit a sealed quotation for the above item/services within the specified period, at the following address: </w:t>
      </w:r>
    </w:p>
    <w:p w:rsidR="009F746D" w:rsidRPr="0079660A" w:rsidRDefault="009F746D" w:rsidP="009F746D">
      <w:pPr>
        <w:tabs>
          <w:tab w:val="left" w:pos="0"/>
        </w:tabs>
        <w:spacing w:before="40" w:after="40"/>
        <w:ind w:right="29"/>
        <w:jc w:val="both"/>
        <w:rPr>
          <w:rFonts w:asciiTheme="majorBidi" w:hAnsiTheme="majorBidi" w:cstheme="majorBidi"/>
          <w:b/>
          <w:bCs/>
          <w:sz w:val="22"/>
          <w:szCs w:val="22"/>
        </w:rPr>
      </w:pPr>
    </w:p>
    <w:p w:rsidR="009F746D" w:rsidRPr="0079660A" w:rsidRDefault="009F746D" w:rsidP="0079660A">
      <w:pPr>
        <w:tabs>
          <w:tab w:val="left" w:pos="0"/>
        </w:tabs>
        <w:spacing w:before="40" w:after="40"/>
        <w:ind w:right="29"/>
        <w:rPr>
          <w:rFonts w:asciiTheme="majorBidi" w:hAnsiTheme="majorBidi" w:cstheme="majorBidi"/>
          <w:sz w:val="22"/>
          <w:szCs w:val="22"/>
        </w:rPr>
      </w:pPr>
      <w:proofErr w:type="gramStart"/>
      <w:r w:rsidRPr="0079660A">
        <w:rPr>
          <w:rFonts w:asciiTheme="majorBidi" w:hAnsiTheme="majorBidi" w:cstheme="majorBidi"/>
          <w:b/>
          <w:bCs/>
          <w:sz w:val="22"/>
          <w:szCs w:val="22"/>
        </w:rPr>
        <w:t>SECP,</w:t>
      </w:r>
      <w:r w:rsidRPr="0079660A">
        <w:rPr>
          <w:rFonts w:asciiTheme="majorBidi" w:hAnsiTheme="majorBidi" w:cstheme="majorBidi"/>
          <w:sz w:val="22"/>
          <w:szCs w:val="22"/>
        </w:rPr>
        <w:t xml:space="preserve"> </w:t>
      </w:r>
      <w:r w:rsidRPr="0079660A">
        <w:rPr>
          <w:rFonts w:asciiTheme="majorBidi" w:hAnsiTheme="majorBidi" w:cstheme="majorBidi"/>
          <w:b/>
          <w:bCs/>
          <w:sz w:val="22"/>
          <w:szCs w:val="22"/>
        </w:rPr>
        <w:t>63-NIC Building, Jinnah Avenue, Blue Area, Islamabad.</w:t>
      </w:r>
      <w:proofErr w:type="gramEnd"/>
    </w:p>
    <w:p w:rsidR="009F746D" w:rsidRPr="0079660A" w:rsidRDefault="009F746D" w:rsidP="009F746D">
      <w:pPr>
        <w:jc w:val="both"/>
        <w:rPr>
          <w:rFonts w:asciiTheme="majorBidi" w:hAnsiTheme="majorBidi" w:cstheme="majorBidi"/>
          <w:sz w:val="22"/>
          <w:szCs w:val="22"/>
        </w:rPr>
      </w:pPr>
      <w:r w:rsidRPr="0079660A">
        <w:rPr>
          <w:rFonts w:asciiTheme="majorBidi" w:hAnsiTheme="majorBidi" w:cstheme="majorBidi"/>
          <w:sz w:val="22"/>
          <w:szCs w:val="22"/>
        </w:rPr>
        <w:t>   </w:t>
      </w:r>
    </w:p>
    <w:p w:rsidR="009F746D" w:rsidRPr="0079660A" w:rsidRDefault="009F746D" w:rsidP="009F746D">
      <w:pPr>
        <w:jc w:val="both"/>
        <w:rPr>
          <w:rFonts w:asciiTheme="majorBidi" w:hAnsiTheme="majorBidi" w:cstheme="majorBidi"/>
          <w:sz w:val="22"/>
          <w:szCs w:val="22"/>
        </w:rPr>
      </w:pPr>
    </w:p>
    <w:p w:rsidR="009F746D" w:rsidRPr="0079660A" w:rsidRDefault="009F746D" w:rsidP="009F746D">
      <w:pPr>
        <w:rPr>
          <w:rFonts w:asciiTheme="majorBidi" w:hAnsiTheme="majorBidi" w:cstheme="majorBidi"/>
          <w:sz w:val="22"/>
          <w:szCs w:val="22"/>
        </w:rPr>
      </w:pPr>
      <w:r w:rsidRPr="0079660A">
        <w:rPr>
          <w:rFonts w:asciiTheme="majorBidi" w:hAnsiTheme="majorBidi" w:cstheme="majorBidi"/>
          <w:bCs/>
          <w:sz w:val="22"/>
          <w:szCs w:val="22"/>
        </w:rPr>
        <w:t>With best regards,</w:t>
      </w:r>
    </w:p>
    <w:p w:rsidR="009F746D" w:rsidRPr="0079660A" w:rsidRDefault="009F746D" w:rsidP="009F746D">
      <w:pPr>
        <w:rPr>
          <w:rFonts w:asciiTheme="majorBidi" w:hAnsiTheme="majorBidi" w:cstheme="majorBidi"/>
          <w:bCs/>
          <w:sz w:val="22"/>
          <w:szCs w:val="22"/>
        </w:rPr>
      </w:pPr>
    </w:p>
    <w:p w:rsidR="009F746D" w:rsidRPr="0079660A" w:rsidRDefault="0079660A" w:rsidP="009F746D">
      <w:pPr>
        <w:rPr>
          <w:rFonts w:asciiTheme="majorBidi" w:hAnsiTheme="majorBidi" w:cstheme="majorBidi"/>
          <w:bCs/>
          <w:sz w:val="22"/>
          <w:szCs w:val="22"/>
        </w:rPr>
      </w:pPr>
      <w:r w:rsidRPr="0079660A">
        <w:rPr>
          <w:rFonts w:asciiTheme="majorBidi" w:hAnsiTheme="majorBidi" w:cstheme="majorBidi"/>
          <w:bCs/>
          <w:sz w:val="22"/>
          <w:szCs w:val="22"/>
        </w:rPr>
        <w:t>Ubaidullah Khalid</w:t>
      </w:r>
    </w:p>
    <w:p w:rsidR="009F746D" w:rsidRPr="0079660A" w:rsidRDefault="009F746D" w:rsidP="009F746D">
      <w:pPr>
        <w:rPr>
          <w:rFonts w:asciiTheme="majorBidi" w:hAnsiTheme="majorBidi" w:cstheme="majorBidi"/>
          <w:bCs/>
          <w:sz w:val="22"/>
          <w:szCs w:val="22"/>
        </w:rPr>
      </w:pPr>
      <w:r w:rsidRPr="0079660A">
        <w:rPr>
          <w:rFonts w:asciiTheme="majorBidi" w:hAnsiTheme="majorBidi" w:cstheme="majorBidi"/>
          <w:bCs/>
          <w:sz w:val="22"/>
          <w:szCs w:val="22"/>
        </w:rPr>
        <w:t>Assistant Director (Admin)</w:t>
      </w:r>
    </w:p>
    <w:p w:rsidR="009F746D" w:rsidRPr="0079660A" w:rsidRDefault="009F746D" w:rsidP="009F746D">
      <w:pPr>
        <w:rPr>
          <w:rFonts w:asciiTheme="majorBidi" w:hAnsiTheme="majorBidi" w:cstheme="majorBidi"/>
          <w:sz w:val="22"/>
          <w:szCs w:val="22"/>
        </w:rPr>
      </w:pPr>
      <w:r w:rsidRPr="0079660A">
        <w:rPr>
          <w:rFonts w:asciiTheme="majorBidi" w:hAnsiTheme="majorBidi" w:cstheme="majorBidi"/>
          <w:sz w:val="22"/>
          <w:szCs w:val="22"/>
        </w:rPr>
        <w:br w:type="page"/>
      </w:r>
    </w:p>
    <w:p w:rsidR="0079660A" w:rsidRDefault="0079660A" w:rsidP="0079660A">
      <w:pPr>
        <w:jc w:val="right"/>
        <w:rPr>
          <w:rFonts w:asciiTheme="majorBidi" w:hAnsiTheme="majorBidi" w:cstheme="majorBidi"/>
          <w:b/>
          <w:bCs/>
          <w:sz w:val="22"/>
          <w:szCs w:val="22"/>
        </w:rPr>
      </w:pPr>
    </w:p>
    <w:p w:rsidR="0079660A" w:rsidRDefault="0079660A" w:rsidP="0079660A">
      <w:pPr>
        <w:jc w:val="right"/>
        <w:rPr>
          <w:rFonts w:asciiTheme="majorBidi" w:hAnsiTheme="majorBidi" w:cstheme="majorBidi"/>
          <w:b/>
          <w:bCs/>
          <w:sz w:val="22"/>
          <w:szCs w:val="22"/>
        </w:rPr>
      </w:pPr>
    </w:p>
    <w:p w:rsidR="0079660A" w:rsidRDefault="0079660A" w:rsidP="0079660A">
      <w:pPr>
        <w:jc w:val="right"/>
        <w:rPr>
          <w:rFonts w:asciiTheme="majorBidi" w:hAnsiTheme="majorBidi" w:cstheme="majorBidi"/>
          <w:b/>
          <w:bCs/>
          <w:sz w:val="22"/>
          <w:szCs w:val="22"/>
        </w:rPr>
      </w:pPr>
    </w:p>
    <w:p w:rsidR="009F746D" w:rsidRPr="0079660A" w:rsidRDefault="009F746D" w:rsidP="0079660A">
      <w:pPr>
        <w:jc w:val="right"/>
        <w:rPr>
          <w:rFonts w:asciiTheme="majorBidi" w:hAnsiTheme="majorBidi" w:cstheme="majorBidi"/>
          <w:b/>
          <w:bCs/>
          <w:sz w:val="22"/>
          <w:szCs w:val="22"/>
        </w:rPr>
      </w:pPr>
      <w:r w:rsidRPr="0079660A">
        <w:rPr>
          <w:rFonts w:asciiTheme="majorBidi" w:hAnsiTheme="majorBidi" w:cstheme="majorBidi"/>
          <w:b/>
          <w:bCs/>
          <w:sz w:val="22"/>
          <w:szCs w:val="22"/>
        </w:rPr>
        <w:t>Annex “A”</w:t>
      </w:r>
    </w:p>
    <w:p w:rsidR="0079660A" w:rsidRPr="0079660A" w:rsidRDefault="0079660A" w:rsidP="0079660A">
      <w:pPr>
        <w:jc w:val="center"/>
        <w:rPr>
          <w:rFonts w:asciiTheme="majorBidi" w:hAnsiTheme="majorBidi" w:cstheme="majorBidi"/>
          <w:b/>
          <w:bCs/>
          <w:sz w:val="22"/>
          <w:szCs w:val="22"/>
          <w:u w:val="single"/>
        </w:rPr>
      </w:pPr>
      <w:r w:rsidRPr="0079660A">
        <w:rPr>
          <w:rFonts w:asciiTheme="majorBidi" w:hAnsiTheme="majorBidi" w:cstheme="majorBidi"/>
          <w:b/>
          <w:bCs/>
          <w:sz w:val="22"/>
          <w:szCs w:val="22"/>
          <w:u w:val="single"/>
        </w:rPr>
        <w:t>Terms of Reference (TOR’s)/Specifications</w:t>
      </w:r>
    </w:p>
    <w:p w:rsidR="008D2DD7" w:rsidRDefault="008D2DD7" w:rsidP="008D2DD7">
      <w:pPr>
        <w:rPr>
          <w:rFonts w:asciiTheme="majorBidi" w:hAnsiTheme="majorBidi" w:cstheme="majorBidi"/>
          <w:b/>
          <w:bCs/>
          <w:sz w:val="22"/>
          <w:szCs w:val="22"/>
        </w:rPr>
      </w:pPr>
    </w:p>
    <w:p w:rsidR="0079660A" w:rsidRPr="008D2DD7" w:rsidRDefault="0079660A" w:rsidP="008D2DD7">
      <w:pPr>
        <w:rPr>
          <w:rFonts w:asciiTheme="majorBidi" w:hAnsiTheme="majorBidi" w:cstheme="majorBidi"/>
          <w:b/>
          <w:bCs/>
          <w:sz w:val="22"/>
          <w:szCs w:val="22"/>
        </w:rPr>
      </w:pPr>
      <w:r w:rsidRPr="008D2DD7">
        <w:rPr>
          <w:rFonts w:asciiTheme="majorBidi" w:hAnsiTheme="majorBidi" w:cstheme="majorBidi"/>
          <w:b/>
          <w:bCs/>
          <w:sz w:val="22"/>
          <w:szCs w:val="22"/>
        </w:rPr>
        <w:t>Furniture &amp; Fixture Items:</w:t>
      </w:r>
    </w:p>
    <w:tbl>
      <w:tblPr>
        <w:tblStyle w:val="TableGrid"/>
        <w:tblpPr w:leftFromText="180" w:rightFromText="180" w:vertAnchor="text" w:horzAnchor="margin" w:tblpY="416"/>
        <w:tblW w:w="9648" w:type="dxa"/>
        <w:tblLook w:val="04A0" w:firstRow="1" w:lastRow="0" w:firstColumn="1" w:lastColumn="0" w:noHBand="0" w:noVBand="1"/>
      </w:tblPr>
      <w:tblGrid>
        <w:gridCol w:w="918"/>
        <w:gridCol w:w="2160"/>
        <w:gridCol w:w="5040"/>
        <w:gridCol w:w="1530"/>
      </w:tblGrid>
      <w:tr w:rsidR="0079660A" w:rsidRPr="0079660A" w:rsidTr="0079660A">
        <w:trPr>
          <w:trHeight w:val="440"/>
        </w:trPr>
        <w:tc>
          <w:tcPr>
            <w:tcW w:w="918" w:type="dxa"/>
            <w:shd w:val="clear" w:color="auto" w:fill="B6DDE8" w:themeFill="accent5" w:themeFillTint="66"/>
            <w:vAlign w:val="center"/>
          </w:tcPr>
          <w:p w:rsidR="0079660A" w:rsidRPr="0079660A" w:rsidRDefault="0079660A" w:rsidP="009C4B03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79660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Sr. No</w:t>
            </w:r>
          </w:p>
        </w:tc>
        <w:tc>
          <w:tcPr>
            <w:tcW w:w="2160" w:type="dxa"/>
            <w:shd w:val="clear" w:color="auto" w:fill="B6DDE8" w:themeFill="accent5" w:themeFillTint="66"/>
            <w:vAlign w:val="center"/>
          </w:tcPr>
          <w:p w:rsidR="0079660A" w:rsidRPr="0079660A" w:rsidRDefault="0079660A" w:rsidP="0079660A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79660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Item Name</w:t>
            </w:r>
          </w:p>
        </w:tc>
        <w:tc>
          <w:tcPr>
            <w:tcW w:w="5040" w:type="dxa"/>
            <w:shd w:val="clear" w:color="auto" w:fill="B6DDE8" w:themeFill="accent5" w:themeFillTint="66"/>
            <w:vAlign w:val="center"/>
          </w:tcPr>
          <w:p w:rsidR="0079660A" w:rsidRPr="0079660A" w:rsidRDefault="0079660A" w:rsidP="009C4B03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79660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Description</w:t>
            </w:r>
          </w:p>
        </w:tc>
        <w:tc>
          <w:tcPr>
            <w:tcW w:w="1530" w:type="dxa"/>
            <w:shd w:val="clear" w:color="auto" w:fill="B6DDE8" w:themeFill="accent5" w:themeFillTint="66"/>
            <w:vAlign w:val="center"/>
          </w:tcPr>
          <w:p w:rsidR="0079660A" w:rsidRPr="0079660A" w:rsidRDefault="0079660A" w:rsidP="009C4B03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proofErr w:type="spellStart"/>
            <w:r w:rsidRPr="0079660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Qty</w:t>
            </w:r>
            <w:proofErr w:type="spellEnd"/>
          </w:p>
        </w:tc>
      </w:tr>
      <w:tr w:rsidR="0079660A" w:rsidRPr="0079660A" w:rsidTr="0079660A">
        <w:trPr>
          <w:trHeight w:val="974"/>
        </w:trPr>
        <w:tc>
          <w:tcPr>
            <w:tcW w:w="918" w:type="dxa"/>
            <w:vAlign w:val="center"/>
          </w:tcPr>
          <w:p w:rsidR="0079660A" w:rsidRPr="0079660A" w:rsidRDefault="0079660A" w:rsidP="0079660A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79660A" w:rsidRPr="0079660A" w:rsidRDefault="0079660A" w:rsidP="0079660A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9660A">
              <w:rPr>
                <w:rFonts w:asciiTheme="majorBidi" w:hAnsiTheme="majorBidi" w:cstheme="majorBidi"/>
                <w:sz w:val="22"/>
                <w:szCs w:val="22"/>
              </w:rPr>
              <w:t>1</w:t>
            </w:r>
          </w:p>
          <w:p w:rsidR="0079660A" w:rsidRPr="0079660A" w:rsidRDefault="0079660A" w:rsidP="0079660A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:rsidR="0079660A" w:rsidRPr="0079660A" w:rsidRDefault="0079660A" w:rsidP="0079660A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9660A">
              <w:rPr>
                <w:rFonts w:asciiTheme="majorBidi" w:hAnsiTheme="majorBidi" w:cstheme="majorBidi"/>
                <w:sz w:val="22"/>
                <w:szCs w:val="22"/>
              </w:rPr>
              <w:t>Office Table</w:t>
            </w:r>
            <w:bookmarkStart w:id="0" w:name="_GoBack"/>
            <w:bookmarkEnd w:id="0"/>
          </w:p>
        </w:tc>
        <w:tc>
          <w:tcPr>
            <w:tcW w:w="5040" w:type="dxa"/>
            <w:vAlign w:val="center"/>
          </w:tcPr>
          <w:p w:rsidR="0079660A" w:rsidRPr="0079660A" w:rsidRDefault="0079660A" w:rsidP="009C4B03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79660A">
              <w:rPr>
                <w:rFonts w:asciiTheme="majorBidi" w:hAnsiTheme="majorBidi" w:cstheme="majorBidi"/>
                <w:sz w:val="22"/>
                <w:szCs w:val="22"/>
              </w:rPr>
              <w:t xml:space="preserve">Office Table (Imported quality) </w:t>
            </w:r>
          </w:p>
          <w:p w:rsidR="0079660A" w:rsidRPr="0079660A" w:rsidRDefault="0079660A" w:rsidP="009C4B03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79660A">
              <w:rPr>
                <w:rFonts w:asciiTheme="majorBidi" w:hAnsiTheme="majorBidi" w:cstheme="majorBidi"/>
                <w:sz w:val="22"/>
                <w:szCs w:val="22"/>
              </w:rPr>
              <w:t>Size: 5’ x 3’x 2’.7’’</w:t>
            </w:r>
          </w:p>
          <w:p w:rsidR="0079660A" w:rsidRPr="0079660A" w:rsidRDefault="0079660A" w:rsidP="004C417F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79660A">
              <w:rPr>
                <w:rFonts w:asciiTheme="majorBidi" w:hAnsiTheme="majorBidi" w:cstheme="majorBidi"/>
                <w:sz w:val="22"/>
                <w:szCs w:val="22"/>
              </w:rPr>
              <w:t xml:space="preserve">Along with fixed 03 side </w:t>
            </w:r>
            <w:proofErr w:type="spellStart"/>
            <w:r w:rsidRPr="0079660A">
              <w:rPr>
                <w:rFonts w:asciiTheme="majorBidi" w:hAnsiTheme="majorBidi" w:cstheme="majorBidi"/>
                <w:sz w:val="22"/>
                <w:szCs w:val="22"/>
              </w:rPr>
              <w:t>drawz</w:t>
            </w:r>
            <w:proofErr w:type="spellEnd"/>
            <w:r w:rsidRPr="0079660A">
              <w:rPr>
                <w:rFonts w:asciiTheme="majorBidi" w:hAnsiTheme="majorBidi" w:cstheme="majorBidi"/>
                <w:sz w:val="22"/>
                <w:szCs w:val="22"/>
              </w:rPr>
              <w:t>/locks etc.</w:t>
            </w:r>
          </w:p>
        </w:tc>
        <w:tc>
          <w:tcPr>
            <w:tcW w:w="1530" w:type="dxa"/>
            <w:vAlign w:val="center"/>
          </w:tcPr>
          <w:p w:rsidR="0079660A" w:rsidRPr="0079660A" w:rsidRDefault="004C417F" w:rsidP="009C4B03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03</w:t>
            </w:r>
          </w:p>
        </w:tc>
      </w:tr>
      <w:tr w:rsidR="0079660A" w:rsidRPr="0079660A" w:rsidTr="004C417F">
        <w:trPr>
          <w:trHeight w:val="678"/>
        </w:trPr>
        <w:tc>
          <w:tcPr>
            <w:tcW w:w="918" w:type="dxa"/>
            <w:vAlign w:val="center"/>
          </w:tcPr>
          <w:p w:rsidR="0079660A" w:rsidRPr="0079660A" w:rsidRDefault="0079660A" w:rsidP="0079660A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9660A">
              <w:rPr>
                <w:rFonts w:asciiTheme="majorBidi" w:hAnsiTheme="majorBidi" w:cstheme="majorBidi"/>
                <w:sz w:val="22"/>
                <w:szCs w:val="22"/>
              </w:rPr>
              <w:t>2</w:t>
            </w:r>
          </w:p>
        </w:tc>
        <w:tc>
          <w:tcPr>
            <w:tcW w:w="2160" w:type="dxa"/>
            <w:vAlign w:val="center"/>
          </w:tcPr>
          <w:p w:rsidR="0079660A" w:rsidRPr="0079660A" w:rsidRDefault="0079660A" w:rsidP="0079660A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9660A">
              <w:rPr>
                <w:rFonts w:asciiTheme="majorBidi" w:hAnsiTheme="majorBidi" w:cstheme="majorBidi"/>
                <w:sz w:val="22"/>
                <w:szCs w:val="22"/>
              </w:rPr>
              <w:t>Side Rack</w:t>
            </w:r>
          </w:p>
        </w:tc>
        <w:tc>
          <w:tcPr>
            <w:tcW w:w="5040" w:type="dxa"/>
            <w:vAlign w:val="center"/>
          </w:tcPr>
          <w:p w:rsidR="0079660A" w:rsidRPr="0079660A" w:rsidRDefault="0079660A" w:rsidP="009C4B03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79660A">
              <w:rPr>
                <w:rFonts w:asciiTheme="majorBidi" w:hAnsiTheme="majorBidi" w:cstheme="majorBidi"/>
                <w:sz w:val="22"/>
                <w:szCs w:val="22"/>
              </w:rPr>
              <w:t xml:space="preserve">Wooden Side Rack </w:t>
            </w:r>
          </w:p>
          <w:p w:rsidR="0079660A" w:rsidRPr="0079660A" w:rsidRDefault="0079660A" w:rsidP="009C4B03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79660A">
              <w:rPr>
                <w:rFonts w:asciiTheme="majorBidi" w:hAnsiTheme="majorBidi" w:cstheme="majorBidi"/>
                <w:sz w:val="22"/>
                <w:szCs w:val="22"/>
              </w:rPr>
              <w:t>Size: 4’ length x 1’.6’’ depth x 2’.7’’ height</w:t>
            </w:r>
          </w:p>
        </w:tc>
        <w:tc>
          <w:tcPr>
            <w:tcW w:w="1530" w:type="dxa"/>
            <w:vAlign w:val="center"/>
          </w:tcPr>
          <w:p w:rsidR="0079660A" w:rsidRPr="0079660A" w:rsidRDefault="004C417F" w:rsidP="009C4B03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03</w:t>
            </w:r>
          </w:p>
        </w:tc>
      </w:tr>
      <w:tr w:rsidR="0079660A" w:rsidRPr="0079660A" w:rsidTr="004C417F">
        <w:trPr>
          <w:trHeight w:val="705"/>
        </w:trPr>
        <w:tc>
          <w:tcPr>
            <w:tcW w:w="918" w:type="dxa"/>
            <w:vAlign w:val="center"/>
          </w:tcPr>
          <w:p w:rsidR="0079660A" w:rsidRPr="0079660A" w:rsidRDefault="0079660A" w:rsidP="0079660A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9660A">
              <w:rPr>
                <w:rFonts w:asciiTheme="majorBidi" w:hAnsiTheme="majorBidi" w:cstheme="majorBidi"/>
                <w:sz w:val="22"/>
                <w:szCs w:val="22"/>
              </w:rPr>
              <w:t>3</w:t>
            </w:r>
          </w:p>
        </w:tc>
        <w:tc>
          <w:tcPr>
            <w:tcW w:w="2160" w:type="dxa"/>
            <w:vAlign w:val="center"/>
          </w:tcPr>
          <w:p w:rsidR="0079660A" w:rsidRPr="0079660A" w:rsidRDefault="0079660A" w:rsidP="0079660A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9660A">
              <w:rPr>
                <w:rFonts w:asciiTheme="majorBidi" w:hAnsiTheme="majorBidi" w:cstheme="majorBidi"/>
                <w:sz w:val="22"/>
                <w:szCs w:val="22"/>
              </w:rPr>
              <w:t>Office Chairs</w:t>
            </w:r>
          </w:p>
        </w:tc>
        <w:tc>
          <w:tcPr>
            <w:tcW w:w="5040" w:type="dxa"/>
            <w:vAlign w:val="center"/>
          </w:tcPr>
          <w:p w:rsidR="0079660A" w:rsidRPr="0079660A" w:rsidRDefault="0079660A" w:rsidP="009C4B03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79660A">
              <w:rPr>
                <w:rFonts w:asciiTheme="majorBidi" w:hAnsiTheme="majorBidi" w:cstheme="majorBidi"/>
                <w:sz w:val="22"/>
                <w:szCs w:val="22"/>
              </w:rPr>
              <w:t>Office Chairs as per design</w:t>
            </w:r>
          </w:p>
          <w:p w:rsidR="0079660A" w:rsidRPr="0079660A" w:rsidRDefault="0079660A" w:rsidP="009C4B03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79660A">
              <w:rPr>
                <w:rFonts w:asciiTheme="majorBidi" w:hAnsiTheme="majorBidi" w:cstheme="majorBidi"/>
                <w:sz w:val="22"/>
                <w:szCs w:val="22"/>
              </w:rPr>
              <w:t xml:space="preserve">Make Master or equivalent imported quality </w:t>
            </w:r>
          </w:p>
        </w:tc>
        <w:tc>
          <w:tcPr>
            <w:tcW w:w="1530" w:type="dxa"/>
            <w:vAlign w:val="center"/>
          </w:tcPr>
          <w:p w:rsidR="0079660A" w:rsidRPr="0079660A" w:rsidRDefault="004C417F" w:rsidP="009C4B03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03</w:t>
            </w:r>
          </w:p>
        </w:tc>
      </w:tr>
      <w:tr w:rsidR="0079660A" w:rsidRPr="0079660A" w:rsidTr="004C417F">
        <w:trPr>
          <w:trHeight w:val="714"/>
        </w:trPr>
        <w:tc>
          <w:tcPr>
            <w:tcW w:w="918" w:type="dxa"/>
            <w:vAlign w:val="center"/>
          </w:tcPr>
          <w:p w:rsidR="0079660A" w:rsidRPr="0079660A" w:rsidRDefault="0079660A" w:rsidP="0079660A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9660A">
              <w:rPr>
                <w:rFonts w:asciiTheme="majorBidi" w:hAnsiTheme="majorBidi" w:cstheme="majorBidi"/>
                <w:sz w:val="22"/>
                <w:szCs w:val="22"/>
              </w:rPr>
              <w:t>4</w:t>
            </w:r>
          </w:p>
        </w:tc>
        <w:tc>
          <w:tcPr>
            <w:tcW w:w="2160" w:type="dxa"/>
            <w:vAlign w:val="center"/>
          </w:tcPr>
          <w:p w:rsidR="0079660A" w:rsidRPr="0079660A" w:rsidRDefault="0079660A" w:rsidP="0079660A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9660A">
              <w:rPr>
                <w:rFonts w:asciiTheme="majorBidi" w:hAnsiTheme="majorBidi" w:cstheme="majorBidi"/>
                <w:sz w:val="22"/>
                <w:szCs w:val="22"/>
              </w:rPr>
              <w:t>Visitor Chairs</w:t>
            </w:r>
          </w:p>
        </w:tc>
        <w:tc>
          <w:tcPr>
            <w:tcW w:w="5040" w:type="dxa"/>
            <w:vAlign w:val="center"/>
          </w:tcPr>
          <w:p w:rsidR="0079660A" w:rsidRPr="0079660A" w:rsidRDefault="0079660A" w:rsidP="009C4B03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79660A">
              <w:rPr>
                <w:rFonts w:asciiTheme="majorBidi" w:hAnsiTheme="majorBidi" w:cstheme="majorBidi"/>
                <w:sz w:val="22"/>
                <w:szCs w:val="22"/>
              </w:rPr>
              <w:t xml:space="preserve">Office visitor chairs as per design </w:t>
            </w:r>
          </w:p>
          <w:p w:rsidR="0079660A" w:rsidRPr="0079660A" w:rsidRDefault="0079660A" w:rsidP="009C4B03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79660A">
              <w:rPr>
                <w:rFonts w:asciiTheme="majorBidi" w:hAnsiTheme="majorBidi" w:cstheme="majorBidi"/>
                <w:sz w:val="22"/>
                <w:szCs w:val="22"/>
              </w:rPr>
              <w:t>Make Master or equivalent imported quality</w:t>
            </w:r>
          </w:p>
        </w:tc>
        <w:tc>
          <w:tcPr>
            <w:tcW w:w="1530" w:type="dxa"/>
            <w:vAlign w:val="center"/>
          </w:tcPr>
          <w:p w:rsidR="0079660A" w:rsidRPr="0079660A" w:rsidRDefault="004C417F" w:rsidP="009C4B03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10</w:t>
            </w:r>
          </w:p>
        </w:tc>
      </w:tr>
      <w:tr w:rsidR="0079660A" w:rsidRPr="0079660A" w:rsidTr="004C417F">
        <w:trPr>
          <w:trHeight w:val="1641"/>
        </w:trPr>
        <w:tc>
          <w:tcPr>
            <w:tcW w:w="918" w:type="dxa"/>
            <w:vAlign w:val="center"/>
          </w:tcPr>
          <w:p w:rsidR="0079660A" w:rsidRPr="0079660A" w:rsidRDefault="0079660A" w:rsidP="0079660A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9660A">
              <w:rPr>
                <w:rFonts w:asciiTheme="majorBidi" w:hAnsiTheme="majorBidi" w:cstheme="majorBidi"/>
                <w:sz w:val="22"/>
                <w:szCs w:val="22"/>
              </w:rPr>
              <w:t>5</w:t>
            </w:r>
          </w:p>
        </w:tc>
        <w:tc>
          <w:tcPr>
            <w:tcW w:w="2160" w:type="dxa"/>
            <w:vAlign w:val="center"/>
          </w:tcPr>
          <w:p w:rsidR="0079660A" w:rsidRPr="0079660A" w:rsidRDefault="0079660A" w:rsidP="0079660A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9660A">
              <w:rPr>
                <w:rFonts w:asciiTheme="majorBidi" w:hAnsiTheme="majorBidi" w:cstheme="majorBidi"/>
                <w:sz w:val="22"/>
                <w:szCs w:val="22"/>
              </w:rPr>
              <w:t>Steel Racks</w:t>
            </w:r>
          </w:p>
        </w:tc>
        <w:tc>
          <w:tcPr>
            <w:tcW w:w="5040" w:type="dxa"/>
            <w:vAlign w:val="center"/>
          </w:tcPr>
          <w:p w:rsidR="0079660A" w:rsidRPr="0079660A" w:rsidRDefault="0079660A" w:rsidP="009C4B03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79660A">
              <w:rPr>
                <w:rFonts w:asciiTheme="majorBidi" w:hAnsiTheme="majorBidi" w:cstheme="majorBidi"/>
                <w:sz w:val="22"/>
                <w:szCs w:val="22"/>
              </w:rPr>
              <w:t>Iron Angle Rick Size of 7 feet x 3 feet x 16 inch depth of rack.</w:t>
            </w:r>
          </w:p>
          <w:p w:rsidR="0079660A" w:rsidRPr="0079660A" w:rsidRDefault="0079660A" w:rsidP="009C4B03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79660A">
              <w:rPr>
                <w:rFonts w:asciiTheme="majorBidi" w:hAnsiTheme="majorBidi" w:cstheme="majorBidi"/>
                <w:sz w:val="22"/>
                <w:szCs w:val="22"/>
              </w:rPr>
              <w:t xml:space="preserve">Angle size: 1.5 inch x 1.5 inch, thickness 01 </w:t>
            </w:r>
            <w:proofErr w:type="spellStart"/>
            <w:r w:rsidRPr="0079660A">
              <w:rPr>
                <w:rFonts w:asciiTheme="majorBidi" w:hAnsiTheme="majorBidi" w:cstheme="majorBidi"/>
                <w:sz w:val="22"/>
                <w:szCs w:val="22"/>
              </w:rPr>
              <w:t>Sutar</w:t>
            </w:r>
            <w:proofErr w:type="spellEnd"/>
            <w:r w:rsidRPr="0079660A">
              <w:rPr>
                <w:rFonts w:asciiTheme="majorBidi" w:hAnsiTheme="majorBidi" w:cstheme="majorBidi"/>
                <w:sz w:val="22"/>
                <w:szCs w:val="22"/>
              </w:rPr>
              <w:t>,</w:t>
            </w:r>
          </w:p>
          <w:p w:rsidR="0079660A" w:rsidRPr="0079660A" w:rsidRDefault="0079660A" w:rsidP="009C4B03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79660A">
              <w:rPr>
                <w:rFonts w:asciiTheme="majorBidi" w:hAnsiTheme="majorBidi" w:cstheme="majorBidi"/>
                <w:sz w:val="22"/>
                <w:szCs w:val="22"/>
              </w:rPr>
              <w:t>Wooden Lamination sheet fixed inside shelves  ¾ inch with enamel paint,</w:t>
            </w:r>
          </w:p>
          <w:p w:rsidR="004C417F" w:rsidRPr="0079660A" w:rsidRDefault="0079660A" w:rsidP="004C417F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79660A">
              <w:rPr>
                <w:rFonts w:asciiTheme="majorBidi" w:hAnsiTheme="majorBidi" w:cstheme="majorBidi"/>
                <w:sz w:val="22"/>
                <w:szCs w:val="22"/>
              </w:rPr>
              <w:t xml:space="preserve">Backside cross angle as per sample. </w:t>
            </w:r>
          </w:p>
        </w:tc>
        <w:tc>
          <w:tcPr>
            <w:tcW w:w="1530" w:type="dxa"/>
            <w:vAlign w:val="center"/>
          </w:tcPr>
          <w:p w:rsidR="0079660A" w:rsidRPr="0079660A" w:rsidRDefault="0079660A" w:rsidP="009C4B03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9660A">
              <w:rPr>
                <w:rFonts w:asciiTheme="majorBidi" w:hAnsiTheme="majorBidi" w:cstheme="majorBidi"/>
                <w:sz w:val="22"/>
                <w:szCs w:val="22"/>
              </w:rPr>
              <w:t>10</w:t>
            </w:r>
          </w:p>
        </w:tc>
      </w:tr>
      <w:tr w:rsidR="0079660A" w:rsidRPr="0079660A" w:rsidTr="004C417F">
        <w:trPr>
          <w:trHeight w:val="3171"/>
        </w:trPr>
        <w:tc>
          <w:tcPr>
            <w:tcW w:w="918" w:type="dxa"/>
            <w:vAlign w:val="center"/>
          </w:tcPr>
          <w:p w:rsidR="0079660A" w:rsidRPr="0079660A" w:rsidRDefault="0079660A" w:rsidP="0079660A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9660A">
              <w:rPr>
                <w:rFonts w:asciiTheme="majorBidi" w:hAnsiTheme="majorBidi" w:cstheme="majorBidi"/>
                <w:sz w:val="22"/>
                <w:szCs w:val="22"/>
              </w:rPr>
              <w:t>6</w:t>
            </w:r>
          </w:p>
        </w:tc>
        <w:tc>
          <w:tcPr>
            <w:tcW w:w="2160" w:type="dxa"/>
            <w:vAlign w:val="center"/>
          </w:tcPr>
          <w:p w:rsidR="0079660A" w:rsidRPr="0079660A" w:rsidRDefault="0079660A" w:rsidP="0079660A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9660A">
              <w:rPr>
                <w:rFonts w:asciiTheme="majorBidi" w:hAnsiTheme="majorBidi" w:cstheme="majorBidi"/>
                <w:sz w:val="22"/>
                <w:szCs w:val="22"/>
              </w:rPr>
              <w:t>Full Height Cabinet</w:t>
            </w:r>
          </w:p>
        </w:tc>
        <w:tc>
          <w:tcPr>
            <w:tcW w:w="5040" w:type="dxa"/>
            <w:vAlign w:val="center"/>
          </w:tcPr>
          <w:p w:rsidR="00A95CE3" w:rsidRDefault="0079660A" w:rsidP="009C4B03">
            <w:pPr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 w:rsidRPr="0079660A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Wooden Cabinet (Full Height) </w:t>
            </w:r>
          </w:p>
          <w:p w:rsidR="0079660A" w:rsidRPr="0079660A" w:rsidRDefault="00A95CE3" w:rsidP="009C4B03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No. of Shelves: </w:t>
            </w:r>
            <w:r w:rsidR="0079660A" w:rsidRPr="0079660A">
              <w:rPr>
                <w:rFonts w:asciiTheme="majorBidi" w:hAnsiTheme="majorBidi" w:cstheme="majorBidi"/>
                <w:sz w:val="22"/>
                <w:szCs w:val="22"/>
              </w:rPr>
              <w:t>04</w:t>
            </w:r>
          </w:p>
          <w:p w:rsidR="0079660A" w:rsidRPr="0079660A" w:rsidRDefault="00A95CE3" w:rsidP="009C4B03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Size: </w:t>
            </w:r>
            <w:r w:rsidR="0079660A" w:rsidRPr="0079660A">
              <w:rPr>
                <w:rFonts w:asciiTheme="majorBidi" w:hAnsiTheme="majorBidi" w:cstheme="majorBidi"/>
                <w:sz w:val="22"/>
                <w:szCs w:val="22"/>
              </w:rPr>
              <w:t>6’8” x 3’ x 1’6”</w:t>
            </w:r>
          </w:p>
          <w:p w:rsidR="0079660A" w:rsidRPr="0079660A" w:rsidRDefault="0079660A" w:rsidP="009C4B03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79660A">
              <w:rPr>
                <w:rFonts w:asciiTheme="majorBidi" w:hAnsiTheme="majorBidi" w:cstheme="majorBidi"/>
                <w:sz w:val="22"/>
                <w:szCs w:val="22"/>
              </w:rPr>
              <w:t xml:space="preserve">Made of </w:t>
            </w:r>
            <w:proofErr w:type="spellStart"/>
            <w:r w:rsidRPr="0079660A">
              <w:rPr>
                <w:rFonts w:asciiTheme="majorBidi" w:hAnsiTheme="majorBidi" w:cstheme="majorBidi"/>
                <w:sz w:val="22"/>
                <w:szCs w:val="22"/>
              </w:rPr>
              <w:t>Lasani</w:t>
            </w:r>
            <w:proofErr w:type="spellEnd"/>
            <w:r w:rsidRPr="0079660A">
              <w:rPr>
                <w:rFonts w:asciiTheme="majorBidi" w:hAnsiTheme="majorBidi" w:cstheme="majorBidi"/>
                <w:sz w:val="22"/>
                <w:szCs w:val="22"/>
              </w:rPr>
              <w:t xml:space="preserve"> Lamination sheet ¾” thick, having four shelves, with Double Door</w:t>
            </w:r>
          </w:p>
          <w:p w:rsidR="0079660A" w:rsidRPr="0079660A" w:rsidRDefault="0079660A" w:rsidP="009C4B03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79660A">
              <w:rPr>
                <w:rFonts w:asciiTheme="majorBidi" w:hAnsiTheme="majorBidi" w:cstheme="majorBidi"/>
                <w:sz w:val="22"/>
                <w:szCs w:val="22"/>
              </w:rPr>
              <w:t>Back Side Sheet = 5mm Lamination Press</w:t>
            </w:r>
          </w:p>
          <w:p w:rsidR="0079660A" w:rsidRPr="0079660A" w:rsidRDefault="0079660A" w:rsidP="009C4B03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79660A">
              <w:rPr>
                <w:rFonts w:asciiTheme="majorBidi" w:hAnsiTheme="majorBidi" w:cstheme="majorBidi"/>
                <w:sz w:val="22"/>
                <w:szCs w:val="22"/>
              </w:rPr>
              <w:t>Imported Long Hinge, PVC Edging = Imported 1.5mm</w:t>
            </w:r>
          </w:p>
          <w:p w:rsidR="0079660A" w:rsidRPr="0079660A" w:rsidRDefault="0079660A" w:rsidP="009C4B03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79660A">
              <w:rPr>
                <w:rFonts w:asciiTheme="majorBidi" w:hAnsiTheme="majorBidi" w:cstheme="majorBidi"/>
                <w:sz w:val="22"/>
                <w:szCs w:val="22"/>
              </w:rPr>
              <w:t>All edges should be pressed with high quality imported matching wooden tape.</w:t>
            </w:r>
          </w:p>
          <w:p w:rsidR="0079660A" w:rsidRPr="0079660A" w:rsidRDefault="0079660A" w:rsidP="009C4B03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79660A">
              <w:rPr>
                <w:rFonts w:asciiTheme="majorBidi" w:hAnsiTheme="majorBidi" w:cstheme="majorBidi"/>
                <w:sz w:val="22"/>
                <w:szCs w:val="22"/>
              </w:rPr>
              <w:t xml:space="preserve">Best quality imported </w:t>
            </w:r>
            <w:r w:rsidR="00A95CE3" w:rsidRPr="0079660A">
              <w:rPr>
                <w:rFonts w:asciiTheme="majorBidi" w:hAnsiTheme="majorBidi" w:cstheme="majorBidi"/>
                <w:sz w:val="22"/>
                <w:szCs w:val="22"/>
              </w:rPr>
              <w:t>lock;</w:t>
            </w:r>
            <w:r w:rsidRPr="0079660A">
              <w:rPr>
                <w:rFonts w:asciiTheme="majorBidi" w:hAnsiTheme="majorBidi" w:cstheme="majorBidi"/>
                <w:sz w:val="22"/>
                <w:szCs w:val="22"/>
              </w:rPr>
              <w:t xml:space="preserve"> handle and hinges should be fixed.</w:t>
            </w:r>
          </w:p>
        </w:tc>
        <w:tc>
          <w:tcPr>
            <w:tcW w:w="1530" w:type="dxa"/>
            <w:vAlign w:val="center"/>
          </w:tcPr>
          <w:p w:rsidR="0079660A" w:rsidRPr="0079660A" w:rsidRDefault="0079660A" w:rsidP="009C4B03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9660A">
              <w:rPr>
                <w:rFonts w:asciiTheme="majorBidi" w:hAnsiTheme="majorBidi" w:cstheme="majorBidi"/>
                <w:sz w:val="22"/>
                <w:szCs w:val="22"/>
              </w:rPr>
              <w:t>01</w:t>
            </w:r>
          </w:p>
        </w:tc>
      </w:tr>
    </w:tbl>
    <w:p w:rsidR="0079660A" w:rsidRPr="0079660A" w:rsidRDefault="0079660A">
      <w:pPr>
        <w:rPr>
          <w:rFonts w:asciiTheme="majorBidi" w:hAnsiTheme="majorBidi" w:cstheme="majorBidi"/>
          <w:sz w:val="22"/>
          <w:szCs w:val="22"/>
        </w:rPr>
      </w:pPr>
    </w:p>
    <w:p w:rsidR="0079660A" w:rsidRPr="0079660A" w:rsidRDefault="0079660A" w:rsidP="0079660A">
      <w:pPr>
        <w:rPr>
          <w:rFonts w:asciiTheme="majorBidi" w:hAnsiTheme="majorBidi" w:cstheme="majorBidi"/>
          <w:sz w:val="22"/>
          <w:szCs w:val="22"/>
        </w:rPr>
      </w:pPr>
    </w:p>
    <w:p w:rsidR="0079660A" w:rsidRPr="0079660A" w:rsidRDefault="0079660A" w:rsidP="0079660A">
      <w:pPr>
        <w:rPr>
          <w:rFonts w:asciiTheme="majorBidi" w:hAnsiTheme="majorBidi" w:cstheme="majorBidi"/>
          <w:sz w:val="22"/>
          <w:szCs w:val="22"/>
        </w:rPr>
      </w:pPr>
    </w:p>
    <w:p w:rsidR="0079660A" w:rsidRPr="0079660A" w:rsidRDefault="0079660A" w:rsidP="0079660A">
      <w:pPr>
        <w:rPr>
          <w:rFonts w:asciiTheme="majorBidi" w:hAnsiTheme="majorBidi" w:cstheme="majorBidi"/>
          <w:sz w:val="22"/>
          <w:szCs w:val="22"/>
        </w:rPr>
      </w:pPr>
    </w:p>
    <w:p w:rsidR="0079660A" w:rsidRPr="0079660A" w:rsidRDefault="0079660A" w:rsidP="0079660A">
      <w:pPr>
        <w:rPr>
          <w:rFonts w:asciiTheme="majorBidi" w:hAnsiTheme="majorBidi" w:cstheme="majorBidi"/>
          <w:sz w:val="22"/>
          <w:szCs w:val="22"/>
        </w:rPr>
      </w:pPr>
    </w:p>
    <w:p w:rsidR="0079660A" w:rsidRPr="0079660A" w:rsidRDefault="0079660A" w:rsidP="0079660A">
      <w:pPr>
        <w:rPr>
          <w:rFonts w:asciiTheme="majorBidi" w:hAnsiTheme="majorBidi" w:cstheme="majorBidi"/>
          <w:sz w:val="22"/>
          <w:szCs w:val="22"/>
        </w:rPr>
      </w:pPr>
    </w:p>
    <w:p w:rsidR="00527D77" w:rsidRPr="0079660A" w:rsidRDefault="00527D77" w:rsidP="0079660A">
      <w:pPr>
        <w:rPr>
          <w:rFonts w:asciiTheme="majorBidi" w:hAnsiTheme="majorBidi" w:cstheme="majorBidi"/>
          <w:sz w:val="22"/>
          <w:szCs w:val="22"/>
        </w:rPr>
      </w:pPr>
    </w:p>
    <w:sectPr w:rsidR="00527D77" w:rsidRPr="0079660A" w:rsidSect="0079660A">
      <w:pgSz w:w="12240" w:h="15840"/>
      <w:pgMar w:top="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C0FD8"/>
    <w:multiLevelType w:val="hybridMultilevel"/>
    <w:tmpl w:val="650E6728"/>
    <w:lvl w:ilvl="0" w:tplc="261EC7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705ADE"/>
    <w:multiLevelType w:val="hybridMultilevel"/>
    <w:tmpl w:val="BBF641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09775B"/>
    <w:multiLevelType w:val="hybridMultilevel"/>
    <w:tmpl w:val="6C4AB6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AB5616"/>
    <w:multiLevelType w:val="hybridMultilevel"/>
    <w:tmpl w:val="B9B0387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90B"/>
    <w:rsid w:val="00097F82"/>
    <w:rsid w:val="001305F3"/>
    <w:rsid w:val="00190EBF"/>
    <w:rsid w:val="001D58D0"/>
    <w:rsid w:val="001F3AEB"/>
    <w:rsid w:val="002A3B72"/>
    <w:rsid w:val="003426B3"/>
    <w:rsid w:val="00397004"/>
    <w:rsid w:val="004B0F36"/>
    <w:rsid w:val="004C3E7A"/>
    <w:rsid w:val="004C417F"/>
    <w:rsid w:val="004F7FEC"/>
    <w:rsid w:val="00527D77"/>
    <w:rsid w:val="005761D9"/>
    <w:rsid w:val="0066671F"/>
    <w:rsid w:val="0078765F"/>
    <w:rsid w:val="0079625B"/>
    <w:rsid w:val="0079660A"/>
    <w:rsid w:val="007A5331"/>
    <w:rsid w:val="007C05BE"/>
    <w:rsid w:val="00863DC6"/>
    <w:rsid w:val="008D2DD7"/>
    <w:rsid w:val="009B777F"/>
    <w:rsid w:val="009C2546"/>
    <w:rsid w:val="009F746D"/>
    <w:rsid w:val="00A64E19"/>
    <w:rsid w:val="00A95CE3"/>
    <w:rsid w:val="00AD1A82"/>
    <w:rsid w:val="00B067AF"/>
    <w:rsid w:val="00B451D0"/>
    <w:rsid w:val="00BE6CB8"/>
    <w:rsid w:val="00BF6AB8"/>
    <w:rsid w:val="00C2690B"/>
    <w:rsid w:val="00C53B09"/>
    <w:rsid w:val="00D455EF"/>
    <w:rsid w:val="00DF462D"/>
    <w:rsid w:val="00E52964"/>
    <w:rsid w:val="00E870AD"/>
    <w:rsid w:val="00FB547B"/>
    <w:rsid w:val="00FE2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46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746D"/>
    <w:pPr>
      <w:ind w:left="720"/>
      <w:contextualSpacing/>
    </w:pPr>
  </w:style>
  <w:style w:type="table" w:styleId="TableGrid">
    <w:name w:val="Table Grid"/>
    <w:basedOn w:val="TableNormal"/>
    <w:uiPriority w:val="59"/>
    <w:rsid w:val="007966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95CE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95CE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46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746D"/>
    <w:pPr>
      <w:ind w:left="720"/>
      <w:contextualSpacing/>
    </w:pPr>
  </w:style>
  <w:style w:type="table" w:styleId="TableGrid">
    <w:name w:val="Table Grid"/>
    <w:basedOn w:val="TableNormal"/>
    <w:uiPriority w:val="59"/>
    <w:rsid w:val="007966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95CE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95CE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secp.gov.pk/procuremen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2458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Adeel Raza</dc:creator>
  <cp:lastModifiedBy>Khawaja Muhammad Asim Ayaz</cp:lastModifiedBy>
  <cp:revision>2</cp:revision>
  <dcterms:created xsi:type="dcterms:W3CDTF">2016-09-26T06:08:00Z</dcterms:created>
  <dcterms:modified xsi:type="dcterms:W3CDTF">2016-09-26T06:08:00Z</dcterms:modified>
</cp:coreProperties>
</file>