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740" w:rsidRDefault="007A2740" w:rsidP="007A2740">
      <w:pPr>
        <w:pStyle w:val="Default"/>
        <w:jc w:val="center"/>
        <w:rPr>
          <w:b/>
          <w:bCs/>
          <w:sz w:val="22"/>
          <w:szCs w:val="22"/>
          <w:u w:val="single"/>
        </w:rPr>
      </w:pPr>
      <w:r w:rsidRPr="007A2740">
        <w:rPr>
          <w:b/>
          <w:bCs/>
          <w:sz w:val="22"/>
          <w:szCs w:val="22"/>
          <w:u w:val="single"/>
        </w:rPr>
        <w:t>Fast Track Registration Services (FTRS)</w:t>
      </w:r>
    </w:p>
    <w:p w:rsidR="007A2740" w:rsidRPr="007A2740" w:rsidRDefault="007A2740" w:rsidP="007A2740">
      <w:pPr>
        <w:pStyle w:val="Default"/>
        <w:jc w:val="center"/>
        <w:rPr>
          <w:b/>
          <w:sz w:val="22"/>
          <w:szCs w:val="22"/>
          <w:u w:val="single"/>
        </w:rPr>
      </w:pPr>
    </w:p>
    <w:p w:rsidR="007A2740" w:rsidRPr="00ED7D5D" w:rsidRDefault="007A2740" w:rsidP="007A2740">
      <w:pPr>
        <w:pStyle w:val="Default"/>
        <w:jc w:val="both"/>
        <w:rPr>
          <w:sz w:val="20"/>
          <w:szCs w:val="20"/>
          <w:u w:val="single"/>
        </w:rPr>
      </w:pPr>
      <w:r>
        <w:rPr>
          <w:sz w:val="20"/>
          <w:szCs w:val="20"/>
        </w:rPr>
        <w:t xml:space="preserve">In order to facilitate the corporate sector, Securities and Exchange Commission of Pakistan (SECP) launched the Fast Track Registration Services (FTRS) vide circular no. 12 of 2012, dated February 23, 2012, which is available on the SECP website at </w:t>
      </w:r>
      <w:r w:rsidR="00ED7D5D" w:rsidRPr="00ED7D5D">
        <w:rPr>
          <w:sz w:val="20"/>
          <w:szCs w:val="20"/>
          <w:u w:val="single"/>
        </w:rPr>
        <w:t>https://www.secp.gov.pk/document/launching-of-fast-track-registration-servicesftrs/?wpdmdl=12793</w:t>
      </w:r>
      <w:r w:rsidR="00ED7D5D">
        <w:rPr>
          <w:sz w:val="20"/>
          <w:szCs w:val="20"/>
          <w:u w:val="single"/>
        </w:rPr>
        <w:t>.</w:t>
      </w:r>
    </w:p>
    <w:p w:rsidR="007A2740" w:rsidRDefault="007A2740" w:rsidP="007A2740">
      <w:pPr>
        <w:pStyle w:val="Default"/>
        <w:rPr>
          <w:sz w:val="20"/>
          <w:szCs w:val="20"/>
        </w:rPr>
      </w:pPr>
    </w:p>
    <w:p w:rsidR="007A2740" w:rsidRDefault="007A2740" w:rsidP="007A2740">
      <w:pPr>
        <w:pStyle w:val="Default"/>
        <w:rPr>
          <w:sz w:val="20"/>
          <w:szCs w:val="20"/>
        </w:rPr>
      </w:pPr>
      <w:r>
        <w:rPr>
          <w:sz w:val="20"/>
          <w:szCs w:val="20"/>
        </w:rPr>
        <w:t xml:space="preserve">The FTRS is available for the following processes in both online and offline cases. </w:t>
      </w:r>
    </w:p>
    <w:p w:rsidR="007A2740" w:rsidRDefault="007A2740" w:rsidP="007A2740">
      <w:pPr>
        <w:pStyle w:val="Default"/>
        <w:rPr>
          <w:sz w:val="20"/>
          <w:szCs w:val="20"/>
        </w:rPr>
      </w:pPr>
    </w:p>
    <w:p w:rsidR="007A2740" w:rsidRDefault="007A2740" w:rsidP="007A2740">
      <w:pPr>
        <w:pStyle w:val="Default"/>
        <w:spacing w:after="51"/>
        <w:rPr>
          <w:sz w:val="20"/>
          <w:szCs w:val="20"/>
        </w:rPr>
      </w:pPr>
      <w:r>
        <w:rPr>
          <w:sz w:val="20"/>
          <w:szCs w:val="20"/>
        </w:rPr>
        <w:t xml:space="preserve">1. Availability of Name </w:t>
      </w:r>
    </w:p>
    <w:p w:rsidR="007A2740" w:rsidRDefault="007A2740" w:rsidP="007A2740">
      <w:pPr>
        <w:pStyle w:val="Default"/>
        <w:spacing w:after="51"/>
        <w:rPr>
          <w:sz w:val="20"/>
          <w:szCs w:val="20"/>
        </w:rPr>
      </w:pPr>
      <w:r>
        <w:rPr>
          <w:sz w:val="20"/>
          <w:szCs w:val="20"/>
        </w:rPr>
        <w:t xml:space="preserve">2. Incorporation of Companies </w:t>
      </w:r>
    </w:p>
    <w:p w:rsidR="007A2740" w:rsidRDefault="007A2740" w:rsidP="007A2740">
      <w:pPr>
        <w:pStyle w:val="Default"/>
        <w:spacing w:after="51"/>
        <w:rPr>
          <w:sz w:val="20"/>
          <w:szCs w:val="20"/>
        </w:rPr>
      </w:pPr>
      <w:r>
        <w:rPr>
          <w:sz w:val="20"/>
          <w:szCs w:val="20"/>
        </w:rPr>
        <w:t xml:space="preserve">3. Change of Name </w:t>
      </w:r>
    </w:p>
    <w:p w:rsidR="007A2740" w:rsidRDefault="007A2740" w:rsidP="007A2740">
      <w:pPr>
        <w:pStyle w:val="Default"/>
        <w:rPr>
          <w:sz w:val="20"/>
          <w:szCs w:val="20"/>
        </w:rPr>
      </w:pPr>
      <w:r>
        <w:rPr>
          <w:sz w:val="20"/>
          <w:szCs w:val="20"/>
        </w:rPr>
        <w:t xml:space="preserve">4. Charge registration, modification and satisfaction. </w:t>
      </w:r>
    </w:p>
    <w:p w:rsidR="007A2740" w:rsidRDefault="007A2740" w:rsidP="007A2740">
      <w:pPr>
        <w:pStyle w:val="Default"/>
        <w:rPr>
          <w:sz w:val="20"/>
          <w:szCs w:val="20"/>
        </w:rPr>
      </w:pPr>
    </w:p>
    <w:p w:rsidR="007A2740" w:rsidRDefault="007A2740" w:rsidP="007A2740">
      <w:pPr>
        <w:pStyle w:val="Default"/>
        <w:jc w:val="both"/>
        <w:rPr>
          <w:sz w:val="20"/>
          <w:szCs w:val="20"/>
        </w:rPr>
      </w:pPr>
      <w:r>
        <w:rPr>
          <w:sz w:val="20"/>
          <w:szCs w:val="20"/>
        </w:rPr>
        <w:t xml:space="preserve">As per the said circular, incorporation of companies, availability of name, change of name and charge registration, modification and satisfaction cases under FTRS at any CRO shall be disposed of on the same day with a minimum of </w:t>
      </w:r>
      <w:r w:rsidR="000C7137">
        <w:rPr>
          <w:sz w:val="20"/>
          <w:szCs w:val="20"/>
        </w:rPr>
        <w:t>four</w:t>
      </w:r>
      <w:r>
        <w:rPr>
          <w:sz w:val="20"/>
          <w:szCs w:val="20"/>
        </w:rPr>
        <w:t xml:space="preserve"> working hours and cases received with less than </w:t>
      </w:r>
      <w:r w:rsidR="000C7137">
        <w:rPr>
          <w:sz w:val="20"/>
          <w:szCs w:val="20"/>
        </w:rPr>
        <w:t>four</w:t>
      </w:r>
      <w:r>
        <w:rPr>
          <w:sz w:val="20"/>
          <w:szCs w:val="20"/>
        </w:rPr>
        <w:t xml:space="preserve"> working hours in a day, shall be dealt with and disposed of on the next working day. </w:t>
      </w:r>
    </w:p>
    <w:p w:rsidR="007A2740" w:rsidRDefault="007A2740" w:rsidP="007A2740">
      <w:pPr>
        <w:pStyle w:val="Default"/>
        <w:jc w:val="both"/>
        <w:rPr>
          <w:sz w:val="20"/>
          <w:szCs w:val="20"/>
        </w:rPr>
      </w:pPr>
    </w:p>
    <w:p w:rsidR="007A2740" w:rsidRDefault="007A2740" w:rsidP="007A2740">
      <w:pPr>
        <w:pStyle w:val="Default"/>
        <w:jc w:val="both"/>
        <w:rPr>
          <w:sz w:val="20"/>
          <w:szCs w:val="20"/>
        </w:rPr>
      </w:pPr>
      <w:r>
        <w:rPr>
          <w:sz w:val="20"/>
          <w:szCs w:val="20"/>
        </w:rPr>
        <w:t xml:space="preserve">It shall be applicable to those incorporation cases, where standardized memorandum and articles of association are adopted. Moreover, companies which require special permissions/license etc. shall not be dealt through the FTRS. </w:t>
      </w:r>
    </w:p>
    <w:p w:rsidR="007A2740" w:rsidRDefault="007A2740" w:rsidP="007A2740">
      <w:pPr>
        <w:pStyle w:val="Default"/>
        <w:jc w:val="both"/>
        <w:rPr>
          <w:sz w:val="20"/>
          <w:szCs w:val="20"/>
        </w:rPr>
      </w:pPr>
    </w:p>
    <w:p w:rsidR="007A2740" w:rsidRDefault="007A2740" w:rsidP="007A2740">
      <w:pPr>
        <w:pStyle w:val="Default"/>
        <w:rPr>
          <w:sz w:val="20"/>
          <w:szCs w:val="20"/>
          <w:u w:val="single"/>
        </w:rPr>
      </w:pPr>
      <w:r w:rsidRPr="007A2740">
        <w:rPr>
          <w:sz w:val="20"/>
          <w:szCs w:val="20"/>
          <w:u w:val="single"/>
        </w:rPr>
        <w:t xml:space="preserve">OFFLINE CASES </w:t>
      </w:r>
    </w:p>
    <w:p w:rsidR="007A2740" w:rsidRPr="007A2740" w:rsidRDefault="007A2740" w:rsidP="007A2740">
      <w:pPr>
        <w:pStyle w:val="Default"/>
        <w:rPr>
          <w:sz w:val="20"/>
          <w:szCs w:val="20"/>
          <w:u w:val="single"/>
        </w:rPr>
      </w:pPr>
    </w:p>
    <w:p w:rsidR="007A2740" w:rsidRDefault="007A2740" w:rsidP="007A2740">
      <w:pPr>
        <w:pStyle w:val="Default"/>
        <w:rPr>
          <w:sz w:val="20"/>
          <w:szCs w:val="20"/>
        </w:rPr>
      </w:pPr>
      <w:r>
        <w:rPr>
          <w:sz w:val="20"/>
          <w:szCs w:val="20"/>
        </w:rPr>
        <w:t xml:space="preserve">For manual/offline cases, the clients/stakeholders need to submit required documents/forms, along with copy of the paid challan/proof of payment of the prescribed fee at the concerned company registration office (CRO). </w:t>
      </w:r>
    </w:p>
    <w:p w:rsidR="007A2740" w:rsidRDefault="007A2740" w:rsidP="007A2740">
      <w:pPr>
        <w:pStyle w:val="Default"/>
        <w:rPr>
          <w:sz w:val="20"/>
          <w:szCs w:val="20"/>
        </w:rPr>
      </w:pPr>
    </w:p>
    <w:p w:rsidR="007A2740" w:rsidRDefault="007A2740" w:rsidP="007A2740">
      <w:pPr>
        <w:pStyle w:val="Default"/>
        <w:rPr>
          <w:sz w:val="20"/>
          <w:szCs w:val="20"/>
          <w:u w:val="single"/>
        </w:rPr>
      </w:pPr>
      <w:r w:rsidRPr="007A2740">
        <w:rPr>
          <w:sz w:val="20"/>
          <w:szCs w:val="20"/>
          <w:u w:val="single"/>
        </w:rPr>
        <w:t xml:space="preserve">ONLINE CASES </w:t>
      </w:r>
    </w:p>
    <w:p w:rsidR="007A2740" w:rsidRPr="007A2740" w:rsidRDefault="007A2740" w:rsidP="007A2740">
      <w:pPr>
        <w:pStyle w:val="Default"/>
        <w:rPr>
          <w:sz w:val="20"/>
          <w:szCs w:val="20"/>
          <w:u w:val="single"/>
        </w:rPr>
      </w:pPr>
    </w:p>
    <w:p w:rsidR="007A2740" w:rsidRDefault="007A2740" w:rsidP="007A2740">
      <w:pPr>
        <w:pStyle w:val="Default"/>
        <w:rPr>
          <w:sz w:val="20"/>
          <w:szCs w:val="20"/>
        </w:rPr>
      </w:pPr>
      <w:r>
        <w:rPr>
          <w:sz w:val="20"/>
          <w:szCs w:val="20"/>
        </w:rPr>
        <w:t xml:space="preserve">For online processes, step wise procedure for submitting documents/returns through </w:t>
      </w:r>
      <w:proofErr w:type="spellStart"/>
      <w:r>
        <w:rPr>
          <w:sz w:val="20"/>
          <w:szCs w:val="20"/>
        </w:rPr>
        <w:t>eServices</w:t>
      </w:r>
      <w:proofErr w:type="spellEnd"/>
      <w:r>
        <w:rPr>
          <w:sz w:val="20"/>
          <w:szCs w:val="20"/>
        </w:rPr>
        <w:t xml:space="preserve"> is as under: </w:t>
      </w:r>
    </w:p>
    <w:p w:rsidR="007A2740" w:rsidRDefault="007A2740" w:rsidP="007A2740">
      <w:pPr>
        <w:pStyle w:val="Default"/>
        <w:rPr>
          <w:sz w:val="20"/>
          <w:szCs w:val="20"/>
        </w:rPr>
      </w:pPr>
    </w:p>
    <w:p w:rsidR="007A2740" w:rsidRPr="007A2740" w:rsidRDefault="007A2740" w:rsidP="007A2740">
      <w:pPr>
        <w:pStyle w:val="Default"/>
        <w:rPr>
          <w:sz w:val="20"/>
          <w:szCs w:val="20"/>
          <w:u w:val="single"/>
        </w:rPr>
      </w:pPr>
      <w:r w:rsidRPr="007A2740">
        <w:rPr>
          <w:sz w:val="20"/>
          <w:szCs w:val="20"/>
          <w:u w:val="single"/>
        </w:rPr>
        <w:t xml:space="preserve">Availability of Name </w:t>
      </w:r>
    </w:p>
    <w:p w:rsidR="009904FE" w:rsidRDefault="007A2740" w:rsidP="009904FE">
      <w:pPr>
        <w:pStyle w:val="Default"/>
        <w:numPr>
          <w:ilvl w:val="0"/>
          <w:numId w:val="1"/>
        </w:numPr>
        <w:spacing w:after="63"/>
        <w:jc w:val="both"/>
        <w:rPr>
          <w:sz w:val="20"/>
          <w:szCs w:val="20"/>
        </w:rPr>
      </w:pPr>
      <w:r w:rsidRPr="009904FE">
        <w:rPr>
          <w:sz w:val="20"/>
          <w:szCs w:val="20"/>
        </w:rPr>
        <w:t xml:space="preserve">The client will connect to </w:t>
      </w:r>
      <w:r w:rsidRPr="009904FE">
        <w:rPr>
          <w:sz w:val="20"/>
          <w:szCs w:val="20"/>
          <w:u w:val="single"/>
        </w:rPr>
        <w:t>https://eservices.secp.gov.pk/eServices</w:t>
      </w:r>
      <w:r w:rsidRPr="009904FE">
        <w:rPr>
          <w:sz w:val="20"/>
          <w:szCs w:val="20"/>
        </w:rPr>
        <w:t xml:space="preserve">, to signup, in case of a new user. </w:t>
      </w:r>
    </w:p>
    <w:p w:rsidR="007A2740" w:rsidRPr="009904FE" w:rsidRDefault="007A2740" w:rsidP="009904FE">
      <w:pPr>
        <w:pStyle w:val="Default"/>
        <w:numPr>
          <w:ilvl w:val="0"/>
          <w:numId w:val="1"/>
        </w:numPr>
        <w:spacing w:after="63"/>
        <w:jc w:val="both"/>
        <w:rPr>
          <w:sz w:val="20"/>
          <w:szCs w:val="20"/>
        </w:rPr>
      </w:pPr>
      <w:r w:rsidRPr="009904FE">
        <w:rPr>
          <w:sz w:val="20"/>
          <w:szCs w:val="20"/>
        </w:rPr>
        <w:t xml:space="preserve">The client will login to </w:t>
      </w:r>
      <w:proofErr w:type="spellStart"/>
      <w:r w:rsidRPr="009904FE">
        <w:rPr>
          <w:sz w:val="20"/>
          <w:szCs w:val="20"/>
        </w:rPr>
        <w:t>eServices</w:t>
      </w:r>
      <w:proofErr w:type="spellEnd"/>
      <w:r w:rsidRPr="009904FE">
        <w:rPr>
          <w:sz w:val="20"/>
          <w:szCs w:val="20"/>
        </w:rPr>
        <w:t xml:space="preserve">, select “Fast Track” option, enter information, and submit application. </w:t>
      </w:r>
    </w:p>
    <w:p w:rsidR="007A2740" w:rsidRPr="007A2740" w:rsidRDefault="007A2740" w:rsidP="009904FE">
      <w:pPr>
        <w:pStyle w:val="Default"/>
        <w:numPr>
          <w:ilvl w:val="0"/>
          <w:numId w:val="1"/>
        </w:numPr>
        <w:spacing w:after="63"/>
        <w:jc w:val="both"/>
        <w:rPr>
          <w:sz w:val="20"/>
          <w:szCs w:val="20"/>
        </w:rPr>
      </w:pPr>
      <w:r w:rsidRPr="007A2740">
        <w:rPr>
          <w:sz w:val="20"/>
          <w:szCs w:val="20"/>
        </w:rPr>
        <w:t xml:space="preserve">Pay the prescribed fee. </w:t>
      </w:r>
    </w:p>
    <w:p w:rsidR="007A2740" w:rsidRDefault="007A2740" w:rsidP="007A2740">
      <w:pPr>
        <w:pStyle w:val="Default"/>
        <w:rPr>
          <w:sz w:val="20"/>
          <w:szCs w:val="20"/>
        </w:rPr>
      </w:pPr>
    </w:p>
    <w:p w:rsidR="007A2740" w:rsidRDefault="007A2740" w:rsidP="007A2740">
      <w:pPr>
        <w:pStyle w:val="Default"/>
        <w:rPr>
          <w:sz w:val="20"/>
          <w:szCs w:val="20"/>
          <w:u w:val="single"/>
        </w:rPr>
      </w:pPr>
      <w:r w:rsidRPr="007A2740">
        <w:rPr>
          <w:sz w:val="20"/>
          <w:szCs w:val="20"/>
          <w:u w:val="single"/>
        </w:rPr>
        <w:t xml:space="preserve">Incorporation of Company </w:t>
      </w:r>
    </w:p>
    <w:p w:rsidR="007A2740" w:rsidRPr="007A2740" w:rsidRDefault="007A2740" w:rsidP="007A2740">
      <w:pPr>
        <w:pStyle w:val="Default"/>
        <w:rPr>
          <w:sz w:val="20"/>
          <w:szCs w:val="20"/>
          <w:u w:val="single"/>
        </w:rPr>
      </w:pPr>
    </w:p>
    <w:p w:rsidR="007A2740" w:rsidRDefault="007A2740" w:rsidP="007A2740">
      <w:pPr>
        <w:pStyle w:val="Default"/>
        <w:numPr>
          <w:ilvl w:val="0"/>
          <w:numId w:val="2"/>
        </w:numPr>
        <w:jc w:val="both"/>
        <w:rPr>
          <w:sz w:val="20"/>
          <w:szCs w:val="20"/>
        </w:rPr>
      </w:pPr>
      <w:r>
        <w:rPr>
          <w:sz w:val="20"/>
          <w:szCs w:val="20"/>
        </w:rPr>
        <w:t xml:space="preserve">The client will connect to </w:t>
      </w:r>
      <w:r w:rsidRPr="007A2740">
        <w:rPr>
          <w:sz w:val="20"/>
          <w:szCs w:val="20"/>
          <w:u w:val="single"/>
        </w:rPr>
        <w:t>https://eservices.secp.gov.pk/eServices</w:t>
      </w:r>
      <w:r>
        <w:rPr>
          <w:sz w:val="20"/>
          <w:szCs w:val="20"/>
        </w:rPr>
        <w:t xml:space="preserve">, to log on to his/her account. In case name availability was obtained manually, then the client will need to obtain </w:t>
      </w:r>
      <w:proofErr w:type="spellStart"/>
      <w:r>
        <w:rPr>
          <w:sz w:val="20"/>
          <w:szCs w:val="20"/>
        </w:rPr>
        <w:t>eServ</w:t>
      </w:r>
      <w:r w:rsidR="009904FE">
        <w:rPr>
          <w:sz w:val="20"/>
          <w:szCs w:val="20"/>
        </w:rPr>
        <w:t>ices</w:t>
      </w:r>
      <w:proofErr w:type="spellEnd"/>
      <w:r w:rsidR="009904FE">
        <w:rPr>
          <w:sz w:val="20"/>
          <w:szCs w:val="20"/>
        </w:rPr>
        <w:t xml:space="preserve"> User ID, Password and PIN and </w:t>
      </w:r>
      <w:r>
        <w:rPr>
          <w:sz w:val="20"/>
          <w:szCs w:val="20"/>
        </w:rPr>
        <w:t xml:space="preserve">then login. </w:t>
      </w:r>
    </w:p>
    <w:p w:rsidR="00E82ADE" w:rsidRDefault="00E82ADE" w:rsidP="00E82ADE">
      <w:pPr>
        <w:pStyle w:val="Default"/>
        <w:ind w:left="720"/>
        <w:jc w:val="both"/>
        <w:rPr>
          <w:sz w:val="20"/>
          <w:szCs w:val="20"/>
        </w:rPr>
      </w:pPr>
    </w:p>
    <w:p w:rsidR="007A2740" w:rsidRDefault="007A2740" w:rsidP="007A2740">
      <w:pPr>
        <w:pStyle w:val="Default"/>
        <w:numPr>
          <w:ilvl w:val="0"/>
          <w:numId w:val="2"/>
        </w:numPr>
        <w:spacing w:after="147"/>
        <w:jc w:val="both"/>
        <w:rPr>
          <w:sz w:val="20"/>
          <w:szCs w:val="20"/>
        </w:rPr>
      </w:pPr>
      <w:r>
        <w:rPr>
          <w:sz w:val="20"/>
          <w:szCs w:val="20"/>
        </w:rPr>
        <w:t xml:space="preserve">The client will need to create separate User IDs for all proposed Subscribers in order to obtain their PIN. </w:t>
      </w:r>
    </w:p>
    <w:p w:rsidR="007A2740" w:rsidRDefault="007A2740" w:rsidP="007A2740">
      <w:pPr>
        <w:pStyle w:val="Default"/>
        <w:numPr>
          <w:ilvl w:val="0"/>
          <w:numId w:val="2"/>
        </w:numPr>
        <w:spacing w:after="147"/>
        <w:jc w:val="both"/>
        <w:rPr>
          <w:sz w:val="20"/>
          <w:szCs w:val="20"/>
        </w:rPr>
      </w:pPr>
      <w:r>
        <w:rPr>
          <w:sz w:val="20"/>
          <w:szCs w:val="20"/>
        </w:rPr>
        <w:t xml:space="preserve">The client will login to </w:t>
      </w:r>
      <w:proofErr w:type="spellStart"/>
      <w:r>
        <w:rPr>
          <w:sz w:val="20"/>
          <w:szCs w:val="20"/>
        </w:rPr>
        <w:t>eServices</w:t>
      </w:r>
      <w:proofErr w:type="spellEnd"/>
      <w:r>
        <w:rPr>
          <w:sz w:val="20"/>
          <w:szCs w:val="20"/>
        </w:rPr>
        <w:t xml:space="preserve">, select “Fast Track” option, enter information, attach the required documents, sign documents/forms using the PIN and submit process. Please note that every Subscriber will need to sign documents/forms by logging through his/her User ID separately. </w:t>
      </w:r>
    </w:p>
    <w:p w:rsidR="007A2740" w:rsidRPr="007A2740" w:rsidRDefault="007A2740" w:rsidP="007A2740">
      <w:pPr>
        <w:pStyle w:val="Default"/>
        <w:numPr>
          <w:ilvl w:val="0"/>
          <w:numId w:val="2"/>
        </w:numPr>
        <w:spacing w:after="147"/>
        <w:jc w:val="both"/>
        <w:rPr>
          <w:sz w:val="20"/>
          <w:szCs w:val="20"/>
        </w:rPr>
      </w:pPr>
      <w:r w:rsidRPr="007A2740">
        <w:rPr>
          <w:sz w:val="20"/>
          <w:szCs w:val="20"/>
        </w:rPr>
        <w:t xml:space="preserve">Pay the prescribed fee. </w:t>
      </w:r>
    </w:p>
    <w:p w:rsidR="007A2740" w:rsidRDefault="007A2740" w:rsidP="007A2740">
      <w:pPr>
        <w:pStyle w:val="Default"/>
        <w:rPr>
          <w:sz w:val="20"/>
          <w:szCs w:val="20"/>
        </w:rPr>
      </w:pPr>
    </w:p>
    <w:p w:rsidR="007A2740" w:rsidRPr="00E82ADE" w:rsidRDefault="007A2740" w:rsidP="007A2740">
      <w:pPr>
        <w:pStyle w:val="Default"/>
        <w:rPr>
          <w:sz w:val="20"/>
          <w:szCs w:val="20"/>
          <w:u w:val="single"/>
        </w:rPr>
      </w:pPr>
      <w:r w:rsidRPr="00E82ADE">
        <w:rPr>
          <w:sz w:val="20"/>
          <w:szCs w:val="20"/>
          <w:u w:val="single"/>
        </w:rPr>
        <w:t xml:space="preserve">Change of Name </w:t>
      </w:r>
    </w:p>
    <w:p w:rsidR="00E82ADE" w:rsidRDefault="007A2740" w:rsidP="007A2740">
      <w:pPr>
        <w:pStyle w:val="Default"/>
        <w:numPr>
          <w:ilvl w:val="0"/>
          <w:numId w:val="3"/>
        </w:numPr>
        <w:spacing w:after="63"/>
        <w:jc w:val="both"/>
        <w:rPr>
          <w:sz w:val="20"/>
          <w:szCs w:val="20"/>
        </w:rPr>
      </w:pPr>
      <w:r>
        <w:rPr>
          <w:sz w:val="20"/>
          <w:szCs w:val="20"/>
        </w:rPr>
        <w:t xml:space="preserve">The client will connect to https://eservices.secp.gov.pk/eServices, to log on to his/her account. Companies which have been registered manually and do not have the </w:t>
      </w:r>
      <w:proofErr w:type="spellStart"/>
      <w:r>
        <w:rPr>
          <w:sz w:val="20"/>
          <w:szCs w:val="20"/>
        </w:rPr>
        <w:t>eServices</w:t>
      </w:r>
      <w:proofErr w:type="spellEnd"/>
      <w:r>
        <w:rPr>
          <w:sz w:val="20"/>
          <w:szCs w:val="20"/>
        </w:rPr>
        <w:t xml:space="preserve"> User </w:t>
      </w:r>
      <w:proofErr w:type="gramStart"/>
      <w:r>
        <w:rPr>
          <w:sz w:val="20"/>
          <w:szCs w:val="20"/>
        </w:rPr>
        <w:t xml:space="preserve">ID </w:t>
      </w:r>
      <w:r w:rsidR="00E82ADE">
        <w:rPr>
          <w:sz w:val="20"/>
          <w:szCs w:val="20"/>
        </w:rPr>
        <w:t>,</w:t>
      </w:r>
      <w:proofErr w:type="gramEnd"/>
      <w:r>
        <w:rPr>
          <w:sz w:val="20"/>
          <w:szCs w:val="20"/>
        </w:rPr>
        <w:t xml:space="preserve"> Password </w:t>
      </w:r>
      <w:r w:rsidR="00E82ADE">
        <w:rPr>
          <w:sz w:val="20"/>
          <w:szCs w:val="20"/>
        </w:rPr>
        <w:t xml:space="preserve"> and PIN </w:t>
      </w:r>
      <w:r w:rsidR="009904FE">
        <w:rPr>
          <w:sz w:val="20"/>
          <w:szCs w:val="20"/>
        </w:rPr>
        <w:t xml:space="preserve">need to first obtain it and </w:t>
      </w:r>
      <w:r>
        <w:rPr>
          <w:sz w:val="20"/>
          <w:szCs w:val="20"/>
        </w:rPr>
        <w:t xml:space="preserve">then login. </w:t>
      </w:r>
    </w:p>
    <w:p w:rsidR="00E82ADE" w:rsidRPr="009904FE" w:rsidRDefault="007A2740" w:rsidP="00117DF4">
      <w:pPr>
        <w:pStyle w:val="Default"/>
        <w:numPr>
          <w:ilvl w:val="0"/>
          <w:numId w:val="3"/>
        </w:numPr>
        <w:spacing w:after="63"/>
        <w:jc w:val="both"/>
        <w:rPr>
          <w:sz w:val="20"/>
          <w:szCs w:val="20"/>
        </w:rPr>
      </w:pPr>
      <w:r w:rsidRPr="009904FE">
        <w:rPr>
          <w:sz w:val="20"/>
          <w:szCs w:val="20"/>
        </w:rPr>
        <w:lastRenderedPageBreak/>
        <w:t xml:space="preserve">Click on </w:t>
      </w:r>
      <w:r w:rsidR="009904FE">
        <w:rPr>
          <w:sz w:val="20"/>
          <w:szCs w:val="20"/>
        </w:rPr>
        <w:t>the</w:t>
      </w:r>
      <w:r w:rsidRPr="009904FE">
        <w:rPr>
          <w:sz w:val="20"/>
          <w:szCs w:val="20"/>
        </w:rPr>
        <w:t xml:space="preserve"> “Change of Company Name”</w:t>
      </w:r>
      <w:r w:rsidR="009904FE">
        <w:rPr>
          <w:sz w:val="20"/>
          <w:szCs w:val="20"/>
        </w:rPr>
        <w:t xml:space="preserve"> option</w:t>
      </w:r>
      <w:bookmarkStart w:id="0" w:name="_GoBack"/>
      <w:bookmarkEnd w:id="0"/>
      <w:r w:rsidRPr="009904FE">
        <w:rPr>
          <w:sz w:val="20"/>
          <w:szCs w:val="20"/>
        </w:rPr>
        <w:t xml:space="preserve">, choose “Fast Track” option, enter information, attach the required documents, sign documents/forms using the </w:t>
      </w:r>
      <w:r w:rsidR="00E82ADE" w:rsidRPr="009904FE">
        <w:rPr>
          <w:sz w:val="20"/>
          <w:szCs w:val="20"/>
        </w:rPr>
        <w:t>PIN</w:t>
      </w:r>
      <w:r w:rsidRPr="009904FE">
        <w:rPr>
          <w:sz w:val="20"/>
          <w:szCs w:val="20"/>
        </w:rPr>
        <w:t xml:space="preserve"> and submit process. </w:t>
      </w:r>
    </w:p>
    <w:p w:rsidR="007A2740" w:rsidRPr="00E82ADE" w:rsidRDefault="007A2740" w:rsidP="007A2740">
      <w:pPr>
        <w:pStyle w:val="Default"/>
        <w:numPr>
          <w:ilvl w:val="0"/>
          <w:numId w:val="3"/>
        </w:numPr>
        <w:spacing w:after="63"/>
        <w:jc w:val="both"/>
        <w:rPr>
          <w:sz w:val="20"/>
          <w:szCs w:val="20"/>
        </w:rPr>
      </w:pPr>
      <w:r w:rsidRPr="00E82ADE">
        <w:rPr>
          <w:sz w:val="20"/>
          <w:szCs w:val="20"/>
        </w:rPr>
        <w:t xml:space="preserve">Pay the prescribed fee. </w:t>
      </w:r>
    </w:p>
    <w:p w:rsidR="007A2740" w:rsidRDefault="007A2740" w:rsidP="007A2740">
      <w:pPr>
        <w:pStyle w:val="Default"/>
        <w:rPr>
          <w:sz w:val="20"/>
          <w:szCs w:val="20"/>
        </w:rPr>
      </w:pPr>
    </w:p>
    <w:p w:rsidR="007A2740" w:rsidRDefault="007A2740" w:rsidP="007A2740">
      <w:pPr>
        <w:pStyle w:val="Default"/>
        <w:rPr>
          <w:sz w:val="20"/>
          <w:szCs w:val="20"/>
          <w:u w:val="single"/>
        </w:rPr>
      </w:pPr>
      <w:r w:rsidRPr="00E82ADE">
        <w:rPr>
          <w:sz w:val="20"/>
          <w:szCs w:val="20"/>
          <w:u w:val="single"/>
        </w:rPr>
        <w:t xml:space="preserve">Charge registration, modification and satisfaction </w:t>
      </w:r>
    </w:p>
    <w:p w:rsidR="00E82ADE" w:rsidRPr="00E82ADE" w:rsidRDefault="00E82ADE" w:rsidP="007A2740">
      <w:pPr>
        <w:pStyle w:val="Default"/>
        <w:rPr>
          <w:sz w:val="20"/>
          <w:szCs w:val="20"/>
          <w:u w:val="single"/>
        </w:rPr>
      </w:pPr>
    </w:p>
    <w:p w:rsidR="007A2740" w:rsidRDefault="007A2740" w:rsidP="00E82ADE">
      <w:pPr>
        <w:pStyle w:val="Default"/>
        <w:numPr>
          <w:ilvl w:val="0"/>
          <w:numId w:val="4"/>
        </w:numPr>
        <w:spacing w:after="63"/>
        <w:jc w:val="both"/>
        <w:rPr>
          <w:sz w:val="20"/>
          <w:szCs w:val="20"/>
        </w:rPr>
      </w:pPr>
      <w:r>
        <w:rPr>
          <w:sz w:val="20"/>
          <w:szCs w:val="20"/>
        </w:rPr>
        <w:t xml:space="preserve">The client will connect to https://eservices.secp.gov.pk/eServices, to log on to his/her account. Companies which have been registered manually and do not have the </w:t>
      </w:r>
      <w:proofErr w:type="spellStart"/>
      <w:r>
        <w:rPr>
          <w:sz w:val="20"/>
          <w:szCs w:val="20"/>
        </w:rPr>
        <w:t>eServices</w:t>
      </w:r>
      <w:proofErr w:type="spellEnd"/>
      <w:r>
        <w:rPr>
          <w:sz w:val="20"/>
          <w:szCs w:val="20"/>
        </w:rPr>
        <w:t xml:space="preserve"> User ID</w:t>
      </w:r>
      <w:r w:rsidR="00E82ADE">
        <w:rPr>
          <w:sz w:val="20"/>
          <w:szCs w:val="20"/>
        </w:rPr>
        <w:t>,</w:t>
      </w:r>
      <w:r>
        <w:rPr>
          <w:sz w:val="20"/>
          <w:szCs w:val="20"/>
        </w:rPr>
        <w:t xml:space="preserve"> Password </w:t>
      </w:r>
      <w:r w:rsidR="00E82ADE">
        <w:rPr>
          <w:sz w:val="20"/>
          <w:szCs w:val="20"/>
        </w:rPr>
        <w:t xml:space="preserve">and PIN </w:t>
      </w:r>
      <w:r>
        <w:rPr>
          <w:sz w:val="20"/>
          <w:szCs w:val="20"/>
        </w:rPr>
        <w:t xml:space="preserve">need to first obtain it, then login. </w:t>
      </w:r>
    </w:p>
    <w:p w:rsidR="007A2740" w:rsidRDefault="007A2740" w:rsidP="00E82ADE">
      <w:pPr>
        <w:pStyle w:val="Default"/>
        <w:numPr>
          <w:ilvl w:val="0"/>
          <w:numId w:val="4"/>
        </w:numPr>
        <w:spacing w:after="63"/>
        <w:jc w:val="both"/>
        <w:rPr>
          <w:sz w:val="20"/>
          <w:szCs w:val="20"/>
        </w:rPr>
      </w:pPr>
      <w:r>
        <w:rPr>
          <w:sz w:val="20"/>
          <w:szCs w:val="20"/>
        </w:rPr>
        <w:t xml:space="preserve">Select the relevant form 10, 16 or 17 under the option “Filing of Statutory Returns” choose “Fast Track” option, enter information, attach the required documents, sign documents/forms using the </w:t>
      </w:r>
      <w:r w:rsidR="00E82ADE">
        <w:rPr>
          <w:sz w:val="20"/>
          <w:szCs w:val="20"/>
        </w:rPr>
        <w:t>PIN</w:t>
      </w:r>
      <w:r>
        <w:rPr>
          <w:sz w:val="20"/>
          <w:szCs w:val="20"/>
        </w:rPr>
        <w:t xml:space="preserve"> and submit process. </w:t>
      </w:r>
    </w:p>
    <w:p w:rsidR="007A2740" w:rsidRDefault="007A2740" w:rsidP="00E82ADE">
      <w:pPr>
        <w:pStyle w:val="Default"/>
        <w:numPr>
          <w:ilvl w:val="0"/>
          <w:numId w:val="4"/>
        </w:numPr>
        <w:rPr>
          <w:sz w:val="20"/>
          <w:szCs w:val="20"/>
        </w:rPr>
      </w:pPr>
      <w:r>
        <w:rPr>
          <w:sz w:val="20"/>
          <w:szCs w:val="20"/>
        </w:rPr>
        <w:t xml:space="preserve">Pay the prescribed fee. </w:t>
      </w:r>
    </w:p>
    <w:p w:rsidR="007A2740" w:rsidRDefault="007A2740" w:rsidP="007A2740">
      <w:pPr>
        <w:pStyle w:val="Default"/>
        <w:rPr>
          <w:sz w:val="20"/>
          <w:szCs w:val="20"/>
        </w:rPr>
      </w:pPr>
    </w:p>
    <w:p w:rsidR="00DA7E2B" w:rsidRDefault="007A2740" w:rsidP="007A2740">
      <w:r>
        <w:rPr>
          <w:sz w:val="20"/>
          <w:szCs w:val="20"/>
        </w:rPr>
        <w:t>For further information, contact the SECP helpline (Service Desk) at 051-111-117-327 during office hours.</w:t>
      </w:r>
    </w:p>
    <w:sectPr w:rsidR="00DA7E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513DF"/>
    <w:multiLevelType w:val="hybridMultilevel"/>
    <w:tmpl w:val="1E424AE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15:restartNumberingAfterBreak="0">
    <w:nsid w:val="36995390"/>
    <w:multiLevelType w:val="hybridMultilevel"/>
    <w:tmpl w:val="5914EC8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44274793"/>
    <w:multiLevelType w:val="hybridMultilevel"/>
    <w:tmpl w:val="22848E5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7DB56F9C"/>
    <w:multiLevelType w:val="hybridMultilevel"/>
    <w:tmpl w:val="1CD22D7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2B"/>
    <w:rsid w:val="000171BF"/>
    <w:rsid w:val="000C7137"/>
    <w:rsid w:val="00662E0B"/>
    <w:rsid w:val="007A2740"/>
    <w:rsid w:val="009904FE"/>
    <w:rsid w:val="00A81FC1"/>
    <w:rsid w:val="00C0432B"/>
    <w:rsid w:val="00D60225"/>
    <w:rsid w:val="00DA7E2B"/>
    <w:rsid w:val="00E82ADE"/>
    <w:rsid w:val="00ED7D5D"/>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89FC"/>
  <w15:chartTrackingRefBased/>
  <w15:docId w15:val="{3833C319-E46A-4B5E-A775-9FE5C227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274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A2740"/>
    <w:rPr>
      <w:color w:val="0563C1" w:themeColor="hyperlink"/>
      <w:u w:val="single"/>
    </w:rPr>
  </w:style>
  <w:style w:type="character" w:styleId="FollowedHyperlink">
    <w:name w:val="FollowedHyperlink"/>
    <w:basedOn w:val="DefaultParagraphFont"/>
    <w:uiPriority w:val="99"/>
    <w:semiHidden/>
    <w:unhideWhenUsed/>
    <w:rsid w:val="007A2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Omaimah Nazir</dc:creator>
  <cp:keywords/>
  <dc:description/>
  <cp:lastModifiedBy>Omaimah Nazir</cp:lastModifiedBy>
  <cp:revision>5</cp:revision>
  <dcterms:created xsi:type="dcterms:W3CDTF">2017-04-07T04:24:00Z</dcterms:created>
  <dcterms:modified xsi:type="dcterms:W3CDTF">2017-04-07T05:38:00Z</dcterms:modified>
</cp:coreProperties>
</file>