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5F6" w:rsidRDefault="00837BA1">
      <w:pPr>
        <w:pStyle w:val="NoSpacing"/>
        <w:jc w:val="both"/>
        <w:rPr>
          <w:color w:val="1F497D"/>
        </w:rPr>
      </w:pPr>
      <w:r>
        <w:rPr>
          <w:noProof/>
        </w:rPr>
        <w:drawing>
          <wp:anchor distT="0" distB="0" distL="0" distR="0" simplePos="0" relativeHeight="2" behindDoc="1" locked="0" layoutInCell="1" allowOverlap="1">
            <wp:simplePos x="0" y="0"/>
            <wp:positionH relativeFrom="column">
              <wp:posOffset>-488950</wp:posOffset>
            </wp:positionH>
            <wp:positionV relativeFrom="paragraph">
              <wp:posOffset>-413385</wp:posOffset>
            </wp:positionV>
            <wp:extent cx="6968490" cy="1093470"/>
            <wp:effectExtent l="0" t="0" r="381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6968490" cy="1093470"/>
                    </a:xfrm>
                    <a:prstGeom prst="rect">
                      <a:avLst/>
                    </a:prstGeom>
                    <a:ln>
                      <a:noFill/>
                    </a:ln>
                  </pic:spPr>
                </pic:pic>
              </a:graphicData>
            </a:graphic>
            <wp14:sizeRelH relativeFrom="margin">
              <wp14:pctWidth>0</wp14:pctWidth>
            </wp14:sizeRelH>
            <wp14:sizeRelV relativeFrom="margin">
              <wp14:pctHeight>0</wp14:pctHeight>
            </wp14:sizeRelV>
          </wp:anchor>
        </w:drawing>
      </w:r>
      <w:r>
        <w:tab/>
      </w:r>
      <w:r>
        <w:tab/>
      </w:r>
    </w:p>
    <w:p w:rsidR="00AF25F6" w:rsidRDefault="00837BA1">
      <w:pPr>
        <w:pStyle w:val="NoSpacing"/>
        <w:jc w:val="both"/>
      </w:pPr>
      <w:r>
        <w:t xml:space="preserve">                                                                                                                                                                                                                                                                                                                                                                                                                                                                                                                                                                                                                                                                                                                                                                                                                                                                                                                                                                                                                                                                                                                                                                                                                                                                                                                                                                                                                                                                                                                                                                                                                                                                                                                                                                                                                                                                                                                                                                                                                                                                                                                                                                                                                                                                                                                                                                                                                                                                                                                                                                                                                                                                                                                                                                                                                                                                                                                                                                                                                                                                                                                                                                                                                                                                                                                                                                                                                                                                                                                                                     </w:t>
      </w:r>
    </w:p>
    <w:p w:rsidR="00AF25F6" w:rsidRDefault="00AF25F6">
      <w:pPr>
        <w:pStyle w:val="NoSpacing"/>
        <w:jc w:val="both"/>
        <w:rPr>
          <w:sz w:val="28"/>
          <w:szCs w:val="28"/>
          <w:u w:val="single"/>
        </w:rPr>
      </w:pPr>
    </w:p>
    <w:p w:rsidR="00AF25F6" w:rsidRPr="00A45B1D" w:rsidRDefault="00837BA1">
      <w:pPr>
        <w:pStyle w:val="NoSpacing"/>
        <w:jc w:val="center"/>
        <w:rPr>
          <w:b/>
          <w:sz w:val="28"/>
          <w:szCs w:val="28"/>
          <w:u w:val="single"/>
        </w:rPr>
      </w:pPr>
      <w:r w:rsidRPr="00A45B1D">
        <w:rPr>
          <w:b/>
          <w:sz w:val="28"/>
          <w:szCs w:val="28"/>
          <w:u w:val="single"/>
        </w:rPr>
        <w:t>PRESS RELEASE</w:t>
      </w:r>
    </w:p>
    <w:p w:rsidR="00AF25F6" w:rsidRDefault="00837BA1">
      <w:pPr>
        <w:pStyle w:val="NoSpacing"/>
        <w:jc w:val="center"/>
      </w:pPr>
      <w:r>
        <w:t xml:space="preserve">For immediate release </w:t>
      </w:r>
    </w:p>
    <w:p w:rsidR="00AF25F6" w:rsidRDefault="00E403D4" w:rsidP="003802F3">
      <w:pPr>
        <w:jc w:val="center"/>
      </w:pPr>
      <w:r>
        <w:t xml:space="preserve">April </w:t>
      </w:r>
      <w:r w:rsidR="00572890">
        <w:t>2</w:t>
      </w:r>
      <w:r w:rsidR="00617BEB">
        <w:t>1</w:t>
      </w:r>
      <w:r w:rsidR="00FD2ACC">
        <w:t>, 2021</w:t>
      </w:r>
    </w:p>
    <w:p w:rsidR="0006544D" w:rsidRDefault="0006544D" w:rsidP="00A84C56">
      <w:pPr>
        <w:rPr>
          <w:b/>
          <w:bCs/>
        </w:rPr>
      </w:pPr>
    </w:p>
    <w:p w:rsidR="00617BEB" w:rsidRPr="00617BEB" w:rsidRDefault="00617BEB" w:rsidP="00A84C56">
      <w:pPr>
        <w:rPr>
          <w:b/>
          <w:bCs/>
          <w:sz w:val="28"/>
          <w:szCs w:val="28"/>
        </w:rPr>
      </w:pPr>
      <w:bookmarkStart w:id="0" w:name="_GoBack"/>
      <w:r w:rsidRPr="00617BEB">
        <w:rPr>
          <w:b/>
          <w:bCs/>
          <w:sz w:val="28"/>
          <w:szCs w:val="28"/>
        </w:rPr>
        <w:t xml:space="preserve">SECP Publishes </w:t>
      </w:r>
      <w:r w:rsidRPr="00617BEB">
        <w:rPr>
          <w:rFonts w:asciiTheme="majorBidi" w:hAnsiTheme="majorBidi" w:cstheme="majorBidi"/>
          <w:b/>
          <w:bCs/>
          <w:sz w:val="28"/>
          <w:szCs w:val="28"/>
        </w:rPr>
        <w:t>Guidance Paper</w:t>
      </w:r>
      <w:r w:rsidRPr="00617BEB">
        <w:rPr>
          <w:rFonts w:asciiTheme="majorBidi" w:hAnsiTheme="majorBidi" w:cstheme="majorBidi"/>
          <w:b/>
          <w:bCs/>
          <w:sz w:val="28"/>
          <w:szCs w:val="28"/>
        </w:rPr>
        <w:t xml:space="preserve"> on </w:t>
      </w:r>
      <w:r w:rsidRPr="00617BEB">
        <w:rPr>
          <w:rFonts w:asciiTheme="majorBidi" w:hAnsiTheme="majorBidi" w:cstheme="majorBidi"/>
          <w:b/>
          <w:bCs/>
          <w:sz w:val="28"/>
          <w:szCs w:val="28"/>
        </w:rPr>
        <w:t>Convertible Debt Securities</w:t>
      </w:r>
    </w:p>
    <w:bookmarkEnd w:id="0"/>
    <w:p w:rsidR="00617BEB" w:rsidRDefault="00617BEB" w:rsidP="00A84C56">
      <w:pPr>
        <w:rPr>
          <w:b/>
          <w:bCs/>
        </w:rPr>
      </w:pPr>
    </w:p>
    <w:p w:rsidR="00617BEB" w:rsidRPr="00617BEB" w:rsidRDefault="00617BEB" w:rsidP="00617BEB">
      <w:pPr>
        <w:pStyle w:val="NoSpacing"/>
        <w:jc w:val="both"/>
        <w:rPr>
          <w:rFonts w:asciiTheme="majorBidi" w:hAnsiTheme="majorBidi" w:cstheme="majorBidi"/>
          <w:sz w:val="28"/>
          <w:szCs w:val="28"/>
        </w:rPr>
      </w:pPr>
      <w:r w:rsidRPr="00617BEB">
        <w:rPr>
          <w:rFonts w:asciiTheme="majorBidi" w:hAnsiTheme="majorBidi" w:cstheme="majorBidi"/>
          <w:b/>
          <w:bCs/>
          <w:sz w:val="28"/>
          <w:szCs w:val="28"/>
        </w:rPr>
        <w:t>ISLAMABAD, April 2</w:t>
      </w:r>
      <w:r>
        <w:rPr>
          <w:rFonts w:asciiTheme="majorBidi" w:hAnsiTheme="majorBidi" w:cstheme="majorBidi"/>
          <w:b/>
          <w:bCs/>
          <w:sz w:val="28"/>
          <w:szCs w:val="28"/>
        </w:rPr>
        <w:t>1</w:t>
      </w:r>
      <w:r w:rsidRPr="00617BEB">
        <w:rPr>
          <w:rFonts w:asciiTheme="majorBidi" w:hAnsiTheme="majorBidi" w:cstheme="majorBidi"/>
          <w:b/>
          <w:bCs/>
          <w:sz w:val="28"/>
          <w:szCs w:val="28"/>
        </w:rPr>
        <w:t xml:space="preserve">: </w:t>
      </w:r>
      <w:r w:rsidRPr="00617BEB">
        <w:rPr>
          <w:rFonts w:asciiTheme="majorBidi" w:hAnsiTheme="majorBidi" w:cstheme="majorBidi"/>
          <w:sz w:val="28"/>
          <w:szCs w:val="28"/>
        </w:rPr>
        <w:t xml:space="preserve">In light of SECP’s </w:t>
      </w:r>
      <w:r w:rsidR="00CC5AE9">
        <w:rPr>
          <w:rFonts w:asciiTheme="majorBidi" w:hAnsiTheme="majorBidi" w:cstheme="majorBidi"/>
          <w:sz w:val="28"/>
          <w:szCs w:val="28"/>
        </w:rPr>
        <w:t xml:space="preserve">commitment </w:t>
      </w:r>
      <w:r w:rsidRPr="00617BEB">
        <w:rPr>
          <w:rFonts w:asciiTheme="majorBidi" w:hAnsiTheme="majorBidi" w:cstheme="majorBidi"/>
          <w:sz w:val="28"/>
          <w:szCs w:val="28"/>
        </w:rPr>
        <w:t xml:space="preserve">to promote capital formation and educate potential issuers and investors about different modes of financing and investment avenues, a Guidance Paper detailing mechanics and elements for issuance of Convertible Debt Securities (CDS) has been published. </w:t>
      </w:r>
    </w:p>
    <w:p w:rsidR="00617BEB" w:rsidRPr="00617BEB" w:rsidRDefault="00617BEB" w:rsidP="00617BEB">
      <w:pPr>
        <w:pStyle w:val="NoSpacing"/>
        <w:jc w:val="both"/>
        <w:rPr>
          <w:rFonts w:asciiTheme="majorBidi" w:hAnsiTheme="majorBidi" w:cstheme="majorBidi"/>
          <w:sz w:val="28"/>
          <w:szCs w:val="28"/>
          <w:lang w:eastAsia="en-GB"/>
        </w:rPr>
      </w:pPr>
    </w:p>
    <w:p w:rsidR="00617BEB" w:rsidRPr="00617BEB" w:rsidRDefault="00617BEB" w:rsidP="00617BEB">
      <w:pPr>
        <w:pStyle w:val="NoSpacing"/>
        <w:jc w:val="both"/>
        <w:rPr>
          <w:rFonts w:asciiTheme="majorBidi" w:hAnsiTheme="majorBidi" w:cstheme="majorBidi"/>
          <w:sz w:val="28"/>
          <w:szCs w:val="28"/>
        </w:rPr>
      </w:pPr>
      <w:r w:rsidRPr="00617BEB">
        <w:rPr>
          <w:rFonts w:asciiTheme="majorBidi" w:hAnsiTheme="majorBidi" w:cstheme="majorBidi"/>
          <w:sz w:val="28"/>
          <w:szCs w:val="28"/>
          <w:lang w:eastAsia="en-GB"/>
        </w:rPr>
        <w:t xml:space="preserve">The said paper is available on SECP’s website and can be accessed through following link </w:t>
      </w:r>
      <w:hyperlink r:id="rId8" w:history="1">
        <w:r w:rsidRPr="00617BEB">
          <w:rPr>
            <w:rStyle w:val="Hyperlink"/>
            <w:rFonts w:asciiTheme="majorBidi" w:hAnsiTheme="majorBidi" w:cstheme="majorBidi"/>
            <w:sz w:val="28"/>
            <w:szCs w:val="28"/>
            <w:lang w:eastAsia="en-GB"/>
          </w:rPr>
          <w:t>https://www.secp.gov.pk/document/guidance-paper-relating-to-issuance-of-convertible-debt-securities/?wpdmdl=42210&amp;refresh=607fca65241141618987621</w:t>
        </w:r>
      </w:hyperlink>
      <w:r w:rsidRPr="00617BEB">
        <w:rPr>
          <w:rFonts w:asciiTheme="majorBidi" w:hAnsiTheme="majorBidi" w:cstheme="majorBidi"/>
          <w:sz w:val="28"/>
          <w:szCs w:val="28"/>
          <w:lang w:eastAsia="en-GB"/>
        </w:rPr>
        <w:t xml:space="preserve"> </w:t>
      </w:r>
    </w:p>
    <w:p w:rsidR="00617BEB" w:rsidRPr="00617BEB" w:rsidRDefault="00617BEB" w:rsidP="00617BEB">
      <w:pPr>
        <w:pStyle w:val="NoSpacing"/>
        <w:jc w:val="both"/>
        <w:rPr>
          <w:rFonts w:asciiTheme="majorBidi" w:hAnsiTheme="majorBidi" w:cstheme="majorBidi"/>
          <w:sz w:val="28"/>
          <w:szCs w:val="28"/>
        </w:rPr>
      </w:pPr>
    </w:p>
    <w:p w:rsidR="00617BEB" w:rsidRPr="00617BEB" w:rsidRDefault="00617BEB" w:rsidP="00617BEB">
      <w:pPr>
        <w:pStyle w:val="paragraph"/>
        <w:shd w:val="clear" w:color="auto" w:fill="FFFFFF"/>
        <w:jc w:val="both"/>
        <w:rPr>
          <w:rFonts w:asciiTheme="majorBidi" w:hAnsiTheme="majorBidi" w:cstheme="majorBidi"/>
          <w:sz w:val="28"/>
          <w:szCs w:val="28"/>
        </w:rPr>
      </w:pPr>
      <w:r w:rsidRPr="00617BEB">
        <w:rPr>
          <w:rFonts w:asciiTheme="majorBidi" w:hAnsiTheme="majorBidi" w:cstheme="majorBidi"/>
          <w:sz w:val="28"/>
          <w:szCs w:val="28"/>
        </w:rPr>
        <w:t>Convertible debt security is a hybrid instrument having both debt and equity features. Initially it is a fixed-income security that yields interest payments and subsequently can be converted into specified number of equity shares. The conversion from debt security to shares can be done at certain times during the instrument’s life and is usually at the discretion of the security holder/investor. Investors in CDS can benefit from a steady income stream (payment of coupon/profit rate) and repayment of principal at maturity, while retaining the option to share in potentially higher equity values i.e. if the conversion option is exercised.</w:t>
      </w:r>
    </w:p>
    <w:p w:rsidR="00617BEB" w:rsidRPr="00617BEB" w:rsidRDefault="00617BEB" w:rsidP="00617BEB">
      <w:pPr>
        <w:pStyle w:val="paragraph"/>
        <w:shd w:val="clear" w:color="auto" w:fill="FFFFFF"/>
        <w:jc w:val="both"/>
        <w:rPr>
          <w:rFonts w:asciiTheme="majorBidi" w:hAnsiTheme="majorBidi" w:cstheme="majorBidi"/>
          <w:sz w:val="28"/>
          <w:szCs w:val="28"/>
        </w:rPr>
      </w:pPr>
      <w:r w:rsidRPr="00617BEB">
        <w:rPr>
          <w:rFonts w:asciiTheme="majorBidi" w:hAnsiTheme="majorBidi" w:cstheme="majorBidi"/>
          <w:sz w:val="28"/>
          <w:szCs w:val="28"/>
        </w:rPr>
        <w:t xml:space="preserve">There is a global surge in issuance of CDS due to low cost involved. Approximately $92 billion of convertible securities have been issued in first half of calendar year 2020. </w:t>
      </w:r>
      <w:r w:rsidRPr="00617BEB">
        <w:rPr>
          <w:rFonts w:asciiTheme="majorBidi" w:hAnsiTheme="majorBidi" w:cstheme="majorBidi"/>
          <w:sz w:val="28"/>
          <w:szCs w:val="28"/>
          <w:lang w:val="en-US"/>
        </w:rPr>
        <w:t>However, Pakistan has not witnessed CDS issuances by the public listed companies barring few banks that used these instruments for meeting their</w:t>
      </w:r>
      <w:r w:rsidRPr="00617BEB">
        <w:rPr>
          <w:rFonts w:asciiTheme="majorBidi" w:hAnsiTheme="majorBidi" w:cstheme="majorBidi"/>
          <w:sz w:val="28"/>
          <w:szCs w:val="28"/>
          <w:shd w:val="clear" w:color="auto" w:fill="FFFFFF"/>
        </w:rPr>
        <w:t xml:space="preserve"> tier I and tier II capital requirements.</w:t>
      </w:r>
    </w:p>
    <w:p w:rsidR="00617BEB" w:rsidRPr="00617BEB" w:rsidRDefault="00617BEB" w:rsidP="00617BEB">
      <w:pPr>
        <w:shd w:val="clear" w:color="auto" w:fill="FFFFFF"/>
        <w:jc w:val="both"/>
        <w:rPr>
          <w:rFonts w:asciiTheme="majorBidi" w:hAnsiTheme="majorBidi" w:cstheme="majorBidi"/>
          <w:sz w:val="28"/>
          <w:szCs w:val="28"/>
        </w:rPr>
      </w:pPr>
      <w:r w:rsidRPr="00617BEB">
        <w:rPr>
          <w:rFonts w:asciiTheme="majorBidi" w:hAnsiTheme="majorBidi" w:cstheme="majorBidi"/>
          <w:sz w:val="28"/>
          <w:szCs w:val="28"/>
        </w:rPr>
        <w:t xml:space="preserve">The Guidance Paper mainly covers, features of CDS, its benefits to investors, opportunities for issuers, criteria for issuance of these and steps involved. As a part of capital market development, SECP will be conducting webinars for creating awareness among potential issuers and other stakeholders relating to issuance of CDS. </w:t>
      </w:r>
    </w:p>
    <w:p w:rsidR="00C9050E" w:rsidRDefault="00C9050E" w:rsidP="00617BEB">
      <w:pPr>
        <w:autoSpaceDE w:val="0"/>
        <w:autoSpaceDN w:val="0"/>
        <w:ind w:left="-284"/>
        <w:rPr>
          <w:rtl/>
        </w:rPr>
      </w:pPr>
    </w:p>
    <w:p w:rsidR="00CC5AE9" w:rsidRDefault="00CC5AE9" w:rsidP="00617BEB">
      <w:pPr>
        <w:autoSpaceDE w:val="0"/>
        <w:autoSpaceDN w:val="0"/>
        <w:ind w:left="-284"/>
        <w:rPr>
          <w:rtl/>
        </w:rPr>
      </w:pPr>
    </w:p>
    <w:p w:rsidR="00CC5AE9" w:rsidRDefault="00CC5AE9" w:rsidP="00CC5AE9">
      <w:pPr>
        <w:autoSpaceDE w:val="0"/>
        <w:autoSpaceDN w:val="0"/>
        <w:bidi/>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ایس  ای سی پی نے  کنورٹ ایبل ڈیٹ</w:t>
      </w:r>
      <w:r w:rsidRPr="00FE5F5F">
        <w:rPr>
          <w:rFonts w:ascii="Jameel Noori Nastaleeq" w:hAnsi="Jameel Noori Nastaleeq" w:cs="Jameel Noori Nastaleeq" w:hint="cs"/>
          <w:sz w:val="28"/>
          <w:szCs w:val="28"/>
          <w:rtl/>
          <w:lang w:bidi="ur-PK"/>
        </w:rPr>
        <w:t xml:space="preserve"> سیکورٹیز  </w:t>
      </w:r>
      <w:r>
        <w:rPr>
          <w:rFonts w:ascii="Jameel Noori Nastaleeq" w:hAnsi="Jameel Noori Nastaleeq" w:cs="Jameel Noori Nastaleeq" w:hint="cs"/>
          <w:sz w:val="28"/>
          <w:szCs w:val="28"/>
          <w:rtl/>
          <w:lang w:bidi="ur-PK"/>
        </w:rPr>
        <w:t xml:space="preserve"> کے اجراء پر گائیڈ نوٹ جاری کر دیا </w:t>
      </w:r>
    </w:p>
    <w:p w:rsidR="00CC5AE9" w:rsidRDefault="00CC5AE9" w:rsidP="00CC5AE9">
      <w:pPr>
        <w:autoSpaceDE w:val="0"/>
        <w:autoSpaceDN w:val="0"/>
        <w:bidi/>
        <w:rPr>
          <w:rFonts w:ascii="Jameel Noori Nastaleeq" w:hAnsi="Jameel Noori Nastaleeq" w:cs="Jameel Noori Nastaleeq"/>
          <w:sz w:val="28"/>
          <w:szCs w:val="28"/>
          <w:rtl/>
          <w:lang w:bidi="ur-PK"/>
        </w:rPr>
      </w:pPr>
    </w:p>
    <w:p w:rsidR="00CC5AE9" w:rsidRDefault="00CC5AE9" w:rsidP="00CC5AE9">
      <w:pPr>
        <w:autoSpaceDE w:val="0"/>
        <w:autoSpaceDN w:val="0"/>
        <w:bidi/>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lastRenderedPageBreak/>
        <w:t xml:space="preserve">اسلام آباد ( اپریل </w:t>
      </w:r>
      <w:r>
        <w:rPr>
          <w:rFonts w:ascii="Jameel Noori Nastaleeq" w:hAnsi="Jameel Noori Nastaleeq" w:cs="Jameel Noori Nastaleeq"/>
          <w:sz w:val="28"/>
          <w:szCs w:val="28"/>
          <w:lang w:bidi="ur-PK"/>
        </w:rPr>
        <w:t>21</w:t>
      </w:r>
      <w:r>
        <w:rPr>
          <w:rFonts w:ascii="Jameel Noori Nastaleeq" w:hAnsi="Jameel Noori Nastaleeq" w:cs="Jameel Noori Nastaleeq" w:hint="cs"/>
          <w:sz w:val="28"/>
          <w:szCs w:val="28"/>
          <w:rtl/>
          <w:lang w:bidi="ur-PK"/>
        </w:rPr>
        <w:t>) سکیورٹیز اینڈ ایکسچینج کمیشن آف پاکستان نے کپیٹل مارکیٹ میں سرمائے کی تشکیل کو فروغ دینے  اور سرمایہ کاروں سے کنورٹ ایبل  ڈیٹ سکیورٹیز میں موجود سرمایہ کاری کے  مواقع اور طریق کار سے متعلق آگہی دینے کے لئے   ڈیٹ</w:t>
      </w:r>
      <w:r w:rsidRPr="00FE5F5F">
        <w:rPr>
          <w:rFonts w:ascii="Jameel Noori Nastaleeq" w:hAnsi="Jameel Noori Nastaleeq" w:cs="Jameel Noori Nastaleeq" w:hint="cs"/>
          <w:sz w:val="28"/>
          <w:szCs w:val="28"/>
          <w:rtl/>
          <w:lang w:bidi="ur-PK"/>
        </w:rPr>
        <w:t xml:space="preserve"> سیکورٹیز  </w:t>
      </w:r>
      <w:r>
        <w:rPr>
          <w:rFonts w:ascii="Jameel Noori Nastaleeq" w:hAnsi="Jameel Noori Nastaleeq" w:cs="Jameel Noori Nastaleeq" w:hint="cs"/>
          <w:sz w:val="28"/>
          <w:szCs w:val="28"/>
          <w:rtl/>
          <w:lang w:bidi="ur-PK"/>
        </w:rPr>
        <w:t xml:space="preserve">   کے اجراء اور سرمایہ کاری کے طریق کار پر مبنی گائیڈ نوٹ جاری کیا ہے۔  یہ گائیڈ نوٹ ایس ای سی پی کی ویب سائٹ پر دستیاب ہے۔ </w:t>
      </w:r>
    </w:p>
    <w:p w:rsidR="00CC5AE9" w:rsidRDefault="00CC5AE9" w:rsidP="00CC5AE9">
      <w:pPr>
        <w:autoSpaceDE w:val="0"/>
        <w:autoSpaceDN w:val="0"/>
        <w:bidi/>
        <w:rPr>
          <w:rFonts w:ascii="Jameel Noori Nastaleeq" w:hAnsi="Jameel Noori Nastaleeq" w:cs="Jameel Noori Nastaleeq"/>
          <w:sz w:val="28"/>
          <w:szCs w:val="28"/>
          <w:rtl/>
          <w:lang w:bidi="ur-PK"/>
        </w:rPr>
      </w:pPr>
    </w:p>
    <w:p w:rsidR="00CC5AE9" w:rsidRDefault="00CC5AE9" w:rsidP="00CC5AE9">
      <w:pPr>
        <w:autoSpaceDE w:val="0"/>
        <w:autoSpaceDN w:val="0"/>
        <w:bidi/>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کنورٹ ایبل ڈیٹ سکیورٹیز فنانشل سیکٹر کا ایک ہائبرڈ انسٹرمنٹ ہے جس میں دیٹ اور سکیورٹیز ، دونوں کے فوائد موجود ہوتے ہیں۔  کنورٹ ایبل ڈیٹ سکیورٹیز  سے شروع میں سکیورٹی سے انٹرسٹ  کی مد میں فکسڈ انکم  حاصل کی جاتی ہے  اور کچھ مدت کے بعد اسے ایکوٹی حصص میں تبدیل  کر دیا جاتا ہے۔  ڈیٹ سکیورٹیز کو انسٹرومنٹ  کی کل مدت کے دوران مختلف  متعین اوقات میں   سرمایہ کار کی خواہش پر حصص میں تبدیل کروایا جا سکتا ہے۔</w:t>
      </w:r>
      <w:r>
        <w:rPr>
          <w:rFonts w:ascii="Jameel Noori Nastaleeq" w:hAnsi="Jameel Noori Nastaleeq" w:cs="Jameel Noori Nastaleeq"/>
          <w:sz w:val="28"/>
          <w:szCs w:val="28"/>
          <w:lang w:bidi="ur-PK"/>
        </w:rPr>
        <w:t xml:space="preserve"> </w:t>
      </w:r>
      <w:r>
        <w:rPr>
          <w:rFonts w:ascii="Jameel Noori Nastaleeq" w:hAnsi="Jameel Noori Nastaleeq" w:cs="Jameel Noori Nastaleeq" w:hint="cs"/>
          <w:sz w:val="28"/>
          <w:szCs w:val="28"/>
          <w:rtl/>
          <w:lang w:bidi="ur-PK"/>
        </w:rPr>
        <w:t xml:space="preserve"> تاہم، کنورٹ ایبل ڈیٹ سکیورٹیز میں  حصص میں تبدیل کرنے کی سہولت کی وجہ سے عموماً فکسڈ انکم  کے روایتی انسٹرومنٹ کے مقابلے میں کم منافع حاصل ہوتا ہے  تاہم   انسٹرومنٹ  کو حصص میں تبدیل کر کے رسک کے ساتھ ساتھ منافع بڑھایا جا سکتا ہے۔ </w:t>
      </w:r>
      <w:r>
        <w:rPr>
          <w:rFonts w:ascii="Jameel Noori Nastaleeq" w:hAnsi="Jameel Noori Nastaleeq" w:cs="Jameel Noori Nastaleeq"/>
          <w:sz w:val="28"/>
          <w:szCs w:val="28"/>
          <w:rtl/>
          <w:lang w:bidi="ur-PK"/>
        </w:rPr>
        <w:br/>
      </w:r>
    </w:p>
    <w:p w:rsidR="00CC5AE9" w:rsidRPr="0051459D" w:rsidRDefault="00CC5AE9" w:rsidP="00CC5AE9">
      <w:pPr>
        <w:autoSpaceDE w:val="0"/>
        <w:autoSpaceDN w:val="0"/>
        <w:bidi/>
        <w:rPr>
          <w:rFonts w:ascii="Jameel Noori Nastaleeq" w:hAnsi="Jameel Noori Nastaleeq" w:cs="Jameel Noori Nastaleeq" w:hint="cs"/>
          <w:sz w:val="28"/>
          <w:szCs w:val="28"/>
          <w:lang w:val="en-GB" w:bidi="ur-PK"/>
        </w:rPr>
      </w:pPr>
      <w:r>
        <w:rPr>
          <w:rFonts w:ascii="Jameel Noori Nastaleeq" w:hAnsi="Jameel Noori Nastaleeq" w:cs="Jameel Noori Nastaleeq" w:hint="cs"/>
          <w:sz w:val="28"/>
          <w:szCs w:val="28"/>
          <w:rtl/>
          <w:lang w:bidi="ur-PK"/>
        </w:rPr>
        <w:t xml:space="preserve">دنیا بھر میں کنورٹ ایبل ڈیٹ سکیورٹیز  کا رجحان بڑھتا جا رہا ہے کیونکہ اس کا اجراء کم قیمت ہوتا ہے اور سرمایہ کار حالات کے مطابق  اپنی سرمایہ کاری کو ایڈجسٹ کر سکتا ہے۔  سال </w:t>
      </w:r>
      <w:r>
        <w:rPr>
          <w:rFonts w:ascii="Jameel Noori Nastaleeq" w:hAnsi="Jameel Noori Nastaleeq" w:cs="Jameel Noori Nastaleeq"/>
          <w:sz w:val="28"/>
          <w:szCs w:val="28"/>
          <w:lang w:bidi="ur-PK"/>
        </w:rPr>
        <w:t>2020</w:t>
      </w:r>
      <w:r>
        <w:rPr>
          <w:rFonts w:ascii="Jameel Noori Nastaleeq" w:hAnsi="Jameel Noori Nastaleeq" w:cs="Jameel Noori Nastaleeq" w:hint="cs"/>
          <w:sz w:val="28"/>
          <w:szCs w:val="28"/>
          <w:rtl/>
          <w:lang w:bidi="ur-PK"/>
        </w:rPr>
        <w:t xml:space="preserve"> کے پہلے چھ ماہ میں دنیا بھر میں </w:t>
      </w:r>
      <w:r>
        <w:rPr>
          <w:rFonts w:ascii="Jameel Noori Nastaleeq" w:hAnsi="Jameel Noori Nastaleeq" w:cs="Jameel Noori Nastaleeq"/>
          <w:sz w:val="28"/>
          <w:szCs w:val="28"/>
          <w:lang w:bidi="ur-PK"/>
        </w:rPr>
        <w:t>92</w:t>
      </w:r>
      <w:r>
        <w:rPr>
          <w:rFonts w:ascii="Jameel Noori Nastaleeq" w:hAnsi="Jameel Noori Nastaleeq" w:cs="Jameel Noori Nastaleeq" w:hint="cs"/>
          <w:sz w:val="28"/>
          <w:szCs w:val="28"/>
          <w:rtl/>
          <w:lang w:bidi="ur-PK"/>
        </w:rPr>
        <w:t xml:space="preserve"> ارب  ڈالر کے کنورٹ ایبل سکیورٹیز جاری کی گئیں تاہم پاکستان میں ابھی تک پبلک لسٹڈ کمپنیوں کی جانب سے کنورٹ ایبل سکیورٹیز کا اجراء نہیں کیا گیا۔ صرف بنکوں کی جانب سے ہی کنورٹ ایبل  ڈیٹ سکیورٹیز جاری ہوئیں۔  ایس ای سی پی کی جانب سے جاری اس گائیڈ نوٹ کا مقصد لسٹڈ کمپنیوں کو کنورٹ ایبل سکیورٹیز کے  آسان اجراء  بارے آگہی فراہم کرنا اور سرمایہ کاروں کو اس کے  فوائد سے آگاہ کرنا ہے۔  </w:t>
      </w:r>
    </w:p>
    <w:p w:rsidR="00CC5AE9" w:rsidRPr="00572890" w:rsidRDefault="00CC5AE9" w:rsidP="00617BEB">
      <w:pPr>
        <w:autoSpaceDE w:val="0"/>
        <w:autoSpaceDN w:val="0"/>
        <w:ind w:left="-284"/>
      </w:pPr>
    </w:p>
    <w:sectPr w:rsidR="00CC5AE9" w:rsidRPr="00572890" w:rsidSect="0000363A">
      <w:footerReference w:type="default" r:id="rId9"/>
      <w:pgSz w:w="12240" w:h="15840"/>
      <w:pgMar w:top="851" w:right="1183" w:bottom="141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A17" w:rsidRDefault="00520A17">
      <w:r>
        <w:separator/>
      </w:r>
    </w:p>
  </w:endnote>
  <w:endnote w:type="continuationSeparator" w:id="0">
    <w:p w:rsidR="00520A17" w:rsidRDefault="0052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ameel Noori Nastaleeq">
    <w:panose1 w:val="02000503000000000004"/>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70" w:rsidRDefault="00D75470">
    <w:pPr>
      <w:pStyle w:val="Footer"/>
      <w:jc w:val="center"/>
      <w:rPr>
        <w:sz w:val="16"/>
        <w:szCs w:val="16"/>
      </w:rPr>
    </w:pPr>
    <w:r>
      <w:rPr>
        <w:noProof/>
        <w:sz w:val="16"/>
        <w:szCs w:val="16"/>
      </w:rPr>
      <mc:AlternateContent>
        <mc:Choice Requires="wps">
          <w:drawing>
            <wp:anchor distT="0" distB="0" distL="114300" distR="114300" simplePos="0" relativeHeight="2" behindDoc="0" locked="0" layoutInCell="1" allowOverlap="1">
              <wp:simplePos x="0" y="0"/>
              <wp:positionH relativeFrom="column">
                <wp:posOffset>1136650</wp:posOffset>
              </wp:positionH>
              <wp:positionV relativeFrom="paragraph">
                <wp:posOffset>-166370</wp:posOffset>
              </wp:positionV>
              <wp:extent cx="3429000" cy="0"/>
              <wp:effectExtent l="9525" t="13334" r="9525" b="5715"/>
              <wp:wrapSquare wrapText="bothSides"/>
              <wp:docPr id="409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90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3B18908" id="Straight Connector 2" o:spid="_x0000_s1026" style="position:absolute;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3.1pt" to="35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">
              <o:lock v:ext="edit" shapetype="f"/>
              <w10:wrap type="square"/>
            </v:line>
          </w:pict>
        </mc:Fallback>
      </mc:AlternateContent>
    </w:r>
    <w:r>
      <w:rPr>
        <w:sz w:val="16"/>
        <w:szCs w:val="16"/>
      </w:rPr>
      <w:t>Securities and Exchange Commission of Pakistan</w:t>
    </w:r>
  </w:p>
  <w:p w:rsidR="00D75470" w:rsidRDefault="00D75470">
    <w:pPr>
      <w:pStyle w:val="Footer"/>
      <w:jc w:val="center"/>
      <w:rPr>
        <w:sz w:val="16"/>
        <w:szCs w:val="16"/>
      </w:rPr>
    </w:pPr>
    <w:r>
      <w:rPr>
        <w:sz w:val="16"/>
        <w:szCs w:val="16"/>
      </w:rPr>
      <w:t>NICL Building, 63 Jinnah Avenue, Islamabad</w:t>
    </w:r>
  </w:p>
  <w:p w:rsidR="00D75470" w:rsidRDefault="00D75470">
    <w:pPr>
      <w:pStyle w:val="Footer"/>
      <w:tabs>
        <w:tab w:val="center" w:pos="2340"/>
      </w:tabs>
      <w:jc w:val="center"/>
      <w:rPr>
        <w:sz w:val="16"/>
        <w:szCs w:val="16"/>
      </w:rPr>
    </w:pPr>
    <w:r>
      <w:rPr>
        <w:sz w:val="16"/>
        <w:szCs w:val="16"/>
      </w:rPr>
      <w:t xml:space="preserve"> Tel: 051-9214005</w:t>
    </w:r>
  </w:p>
  <w:p w:rsidR="00D75470" w:rsidRDefault="00D75470">
    <w:pPr>
      <w:pStyle w:val="Footer"/>
    </w:pPr>
  </w:p>
  <w:p w:rsidR="00D75470" w:rsidRDefault="00D75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A17" w:rsidRDefault="00520A17">
      <w:r>
        <w:separator/>
      </w:r>
    </w:p>
  </w:footnote>
  <w:footnote w:type="continuationSeparator" w:id="0">
    <w:p w:rsidR="00520A17" w:rsidRDefault="00520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AE86E56"/>
    <w:lvl w:ilvl="0" w:tplc="79588696">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2995EDD"/>
    <w:multiLevelType w:val="hybridMultilevel"/>
    <w:tmpl w:val="15084364"/>
    <w:lvl w:ilvl="0" w:tplc="D0EC6FC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3F4722"/>
    <w:multiLevelType w:val="hybridMultilevel"/>
    <w:tmpl w:val="7DE089F0"/>
    <w:lvl w:ilvl="0" w:tplc="F34C6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53DE9"/>
    <w:multiLevelType w:val="hybridMultilevel"/>
    <w:tmpl w:val="C5721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7A757C"/>
    <w:multiLevelType w:val="hybridMultilevel"/>
    <w:tmpl w:val="D2F2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870CC"/>
    <w:multiLevelType w:val="hybridMultilevel"/>
    <w:tmpl w:val="DC2C34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F400157"/>
    <w:multiLevelType w:val="hybridMultilevel"/>
    <w:tmpl w:val="377CEC1A"/>
    <w:lvl w:ilvl="0" w:tplc="8B4EC320">
      <w:start w:val="1"/>
      <w:numFmt w:val="lowerRoman"/>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1872519"/>
    <w:multiLevelType w:val="hybridMultilevel"/>
    <w:tmpl w:val="C29432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2A60C61"/>
    <w:multiLevelType w:val="hybridMultilevel"/>
    <w:tmpl w:val="3B30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20A1B"/>
    <w:multiLevelType w:val="hybridMultilevel"/>
    <w:tmpl w:val="D61EF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8"/>
  </w:num>
  <w:num w:numId="9">
    <w:abstractNumId w:val="7"/>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6"/>
    <w:rsid w:val="0000363A"/>
    <w:rsid w:val="00010472"/>
    <w:rsid w:val="0004700B"/>
    <w:rsid w:val="00054725"/>
    <w:rsid w:val="0006036B"/>
    <w:rsid w:val="00064C47"/>
    <w:rsid w:val="0006544D"/>
    <w:rsid w:val="00072A12"/>
    <w:rsid w:val="00074268"/>
    <w:rsid w:val="00075361"/>
    <w:rsid w:val="000806B4"/>
    <w:rsid w:val="000878C5"/>
    <w:rsid w:val="00091FBC"/>
    <w:rsid w:val="00092E1A"/>
    <w:rsid w:val="00093883"/>
    <w:rsid w:val="000959D7"/>
    <w:rsid w:val="000A34B0"/>
    <w:rsid w:val="000A7987"/>
    <w:rsid w:val="000B7FCF"/>
    <w:rsid w:val="000D19B4"/>
    <w:rsid w:val="000D3766"/>
    <w:rsid w:val="000D5FC5"/>
    <w:rsid w:val="000F71AA"/>
    <w:rsid w:val="000F7FD0"/>
    <w:rsid w:val="00100375"/>
    <w:rsid w:val="00100B6C"/>
    <w:rsid w:val="00105139"/>
    <w:rsid w:val="0010570F"/>
    <w:rsid w:val="001121D4"/>
    <w:rsid w:val="00112293"/>
    <w:rsid w:val="001127BC"/>
    <w:rsid w:val="0011327C"/>
    <w:rsid w:val="00114363"/>
    <w:rsid w:val="001313CF"/>
    <w:rsid w:val="00140B0C"/>
    <w:rsid w:val="00144201"/>
    <w:rsid w:val="00147519"/>
    <w:rsid w:val="00151996"/>
    <w:rsid w:val="00160F39"/>
    <w:rsid w:val="00170F13"/>
    <w:rsid w:val="00174627"/>
    <w:rsid w:val="00177823"/>
    <w:rsid w:val="00187843"/>
    <w:rsid w:val="0019196D"/>
    <w:rsid w:val="001951FD"/>
    <w:rsid w:val="001974FA"/>
    <w:rsid w:val="0019793B"/>
    <w:rsid w:val="001A1C4E"/>
    <w:rsid w:val="001C13D4"/>
    <w:rsid w:val="001C16B4"/>
    <w:rsid w:val="001D207E"/>
    <w:rsid w:val="001E661D"/>
    <w:rsid w:val="001F1209"/>
    <w:rsid w:val="001F1967"/>
    <w:rsid w:val="0020094A"/>
    <w:rsid w:val="00201656"/>
    <w:rsid w:val="0020531E"/>
    <w:rsid w:val="00210C66"/>
    <w:rsid w:val="002174D9"/>
    <w:rsid w:val="00224651"/>
    <w:rsid w:val="00237BD5"/>
    <w:rsid w:val="00246E51"/>
    <w:rsid w:val="00251EFA"/>
    <w:rsid w:val="002565CD"/>
    <w:rsid w:val="0027358C"/>
    <w:rsid w:val="00273955"/>
    <w:rsid w:val="002839ED"/>
    <w:rsid w:val="00284804"/>
    <w:rsid w:val="0028673D"/>
    <w:rsid w:val="002873AE"/>
    <w:rsid w:val="002A5F9E"/>
    <w:rsid w:val="002A660D"/>
    <w:rsid w:val="002B038C"/>
    <w:rsid w:val="002B070E"/>
    <w:rsid w:val="002B0DD4"/>
    <w:rsid w:val="002E226F"/>
    <w:rsid w:val="002E662E"/>
    <w:rsid w:val="002E7229"/>
    <w:rsid w:val="002F3040"/>
    <w:rsid w:val="002F3573"/>
    <w:rsid w:val="002F51A3"/>
    <w:rsid w:val="00300808"/>
    <w:rsid w:val="00301269"/>
    <w:rsid w:val="00303886"/>
    <w:rsid w:val="00307C9F"/>
    <w:rsid w:val="003117D8"/>
    <w:rsid w:val="003131CB"/>
    <w:rsid w:val="0031502C"/>
    <w:rsid w:val="00316E1A"/>
    <w:rsid w:val="00320A06"/>
    <w:rsid w:val="003350E2"/>
    <w:rsid w:val="003351FB"/>
    <w:rsid w:val="00337C00"/>
    <w:rsid w:val="0034680F"/>
    <w:rsid w:val="0035368F"/>
    <w:rsid w:val="00355A46"/>
    <w:rsid w:val="00361F98"/>
    <w:rsid w:val="003647B9"/>
    <w:rsid w:val="00366ABF"/>
    <w:rsid w:val="0037456C"/>
    <w:rsid w:val="0037548B"/>
    <w:rsid w:val="003802F3"/>
    <w:rsid w:val="00380775"/>
    <w:rsid w:val="00381F38"/>
    <w:rsid w:val="00384897"/>
    <w:rsid w:val="0038627C"/>
    <w:rsid w:val="003B7D53"/>
    <w:rsid w:val="003C52AB"/>
    <w:rsid w:val="003C7AD3"/>
    <w:rsid w:val="003E085B"/>
    <w:rsid w:val="003E23C6"/>
    <w:rsid w:val="003F2DDB"/>
    <w:rsid w:val="003F56CB"/>
    <w:rsid w:val="003F6BB3"/>
    <w:rsid w:val="004043A4"/>
    <w:rsid w:val="00406654"/>
    <w:rsid w:val="0041178D"/>
    <w:rsid w:val="00411908"/>
    <w:rsid w:val="00415057"/>
    <w:rsid w:val="004314F2"/>
    <w:rsid w:val="0044221A"/>
    <w:rsid w:val="00446CD3"/>
    <w:rsid w:val="00452E12"/>
    <w:rsid w:val="00465818"/>
    <w:rsid w:val="004661BF"/>
    <w:rsid w:val="0046770D"/>
    <w:rsid w:val="00470EDF"/>
    <w:rsid w:val="00477F72"/>
    <w:rsid w:val="0048137F"/>
    <w:rsid w:val="00485943"/>
    <w:rsid w:val="00487BA0"/>
    <w:rsid w:val="00494DE4"/>
    <w:rsid w:val="004A5842"/>
    <w:rsid w:val="004B11C1"/>
    <w:rsid w:val="004B413B"/>
    <w:rsid w:val="004B4787"/>
    <w:rsid w:val="004B6AF6"/>
    <w:rsid w:val="004B754F"/>
    <w:rsid w:val="004C1108"/>
    <w:rsid w:val="004C2D1C"/>
    <w:rsid w:val="004D2D85"/>
    <w:rsid w:val="004D3841"/>
    <w:rsid w:val="004E0570"/>
    <w:rsid w:val="004E498D"/>
    <w:rsid w:val="004E6CAD"/>
    <w:rsid w:val="00500844"/>
    <w:rsid w:val="00520A17"/>
    <w:rsid w:val="00525BAE"/>
    <w:rsid w:val="005441C4"/>
    <w:rsid w:val="0056200A"/>
    <w:rsid w:val="00567905"/>
    <w:rsid w:val="00572890"/>
    <w:rsid w:val="00574A87"/>
    <w:rsid w:val="005758E2"/>
    <w:rsid w:val="005A617B"/>
    <w:rsid w:val="005A6ACD"/>
    <w:rsid w:val="005C2BED"/>
    <w:rsid w:val="005E5F11"/>
    <w:rsid w:val="005F3EEC"/>
    <w:rsid w:val="00601AC0"/>
    <w:rsid w:val="00613F64"/>
    <w:rsid w:val="00614B9C"/>
    <w:rsid w:val="00614EFF"/>
    <w:rsid w:val="00615C1D"/>
    <w:rsid w:val="00617BEB"/>
    <w:rsid w:val="00622CF3"/>
    <w:rsid w:val="00624348"/>
    <w:rsid w:val="00624AA0"/>
    <w:rsid w:val="0063198E"/>
    <w:rsid w:val="0063372E"/>
    <w:rsid w:val="00651983"/>
    <w:rsid w:val="00652620"/>
    <w:rsid w:val="00656B2C"/>
    <w:rsid w:val="00666648"/>
    <w:rsid w:val="0066673C"/>
    <w:rsid w:val="006667A6"/>
    <w:rsid w:val="006705D9"/>
    <w:rsid w:val="006776AB"/>
    <w:rsid w:val="00684A8D"/>
    <w:rsid w:val="00691817"/>
    <w:rsid w:val="006A00EB"/>
    <w:rsid w:val="006A6B82"/>
    <w:rsid w:val="006E10C8"/>
    <w:rsid w:val="006F351C"/>
    <w:rsid w:val="006F6210"/>
    <w:rsid w:val="006F62E1"/>
    <w:rsid w:val="007134CB"/>
    <w:rsid w:val="00723095"/>
    <w:rsid w:val="007302A9"/>
    <w:rsid w:val="007303F0"/>
    <w:rsid w:val="007316E1"/>
    <w:rsid w:val="00735DC2"/>
    <w:rsid w:val="00741BAA"/>
    <w:rsid w:val="0074558B"/>
    <w:rsid w:val="007517E9"/>
    <w:rsid w:val="00752F96"/>
    <w:rsid w:val="00764E4A"/>
    <w:rsid w:val="0078071B"/>
    <w:rsid w:val="0078100A"/>
    <w:rsid w:val="00787732"/>
    <w:rsid w:val="00791D2B"/>
    <w:rsid w:val="0079267B"/>
    <w:rsid w:val="007A69E1"/>
    <w:rsid w:val="007B2758"/>
    <w:rsid w:val="007B64BA"/>
    <w:rsid w:val="007C7000"/>
    <w:rsid w:val="007D0C0B"/>
    <w:rsid w:val="007D0E9F"/>
    <w:rsid w:val="007D4415"/>
    <w:rsid w:val="007E0FF6"/>
    <w:rsid w:val="007E419C"/>
    <w:rsid w:val="007F04F9"/>
    <w:rsid w:val="007F2511"/>
    <w:rsid w:val="007F3F9F"/>
    <w:rsid w:val="008036CA"/>
    <w:rsid w:val="00805F13"/>
    <w:rsid w:val="00806858"/>
    <w:rsid w:val="0082768A"/>
    <w:rsid w:val="008322D1"/>
    <w:rsid w:val="008322FC"/>
    <w:rsid w:val="00836920"/>
    <w:rsid w:val="00837124"/>
    <w:rsid w:val="00837BA1"/>
    <w:rsid w:val="00841956"/>
    <w:rsid w:val="00846380"/>
    <w:rsid w:val="00846F0B"/>
    <w:rsid w:val="0085390F"/>
    <w:rsid w:val="008601DE"/>
    <w:rsid w:val="00875220"/>
    <w:rsid w:val="00876E86"/>
    <w:rsid w:val="00885E55"/>
    <w:rsid w:val="008930AD"/>
    <w:rsid w:val="00894207"/>
    <w:rsid w:val="00894585"/>
    <w:rsid w:val="008C00E1"/>
    <w:rsid w:val="008C371D"/>
    <w:rsid w:val="008C7128"/>
    <w:rsid w:val="008D3116"/>
    <w:rsid w:val="008D56D0"/>
    <w:rsid w:val="008E3533"/>
    <w:rsid w:val="008E7BE5"/>
    <w:rsid w:val="009025CC"/>
    <w:rsid w:val="009178C5"/>
    <w:rsid w:val="00945354"/>
    <w:rsid w:val="009505DE"/>
    <w:rsid w:val="0095480D"/>
    <w:rsid w:val="0096101E"/>
    <w:rsid w:val="00970A08"/>
    <w:rsid w:val="00971A1E"/>
    <w:rsid w:val="00973A90"/>
    <w:rsid w:val="009813E0"/>
    <w:rsid w:val="009B4DD5"/>
    <w:rsid w:val="009B51CE"/>
    <w:rsid w:val="009B56E9"/>
    <w:rsid w:val="009D028C"/>
    <w:rsid w:val="009D773E"/>
    <w:rsid w:val="00A00D62"/>
    <w:rsid w:val="00A20E4C"/>
    <w:rsid w:val="00A21B11"/>
    <w:rsid w:val="00A4106A"/>
    <w:rsid w:val="00A44D41"/>
    <w:rsid w:val="00A45B1D"/>
    <w:rsid w:val="00A52633"/>
    <w:rsid w:val="00A63003"/>
    <w:rsid w:val="00A673EC"/>
    <w:rsid w:val="00A73668"/>
    <w:rsid w:val="00A76B6A"/>
    <w:rsid w:val="00A76B82"/>
    <w:rsid w:val="00A83C3E"/>
    <w:rsid w:val="00A84C56"/>
    <w:rsid w:val="00A85642"/>
    <w:rsid w:val="00A92B9C"/>
    <w:rsid w:val="00AA3D1D"/>
    <w:rsid w:val="00AA7844"/>
    <w:rsid w:val="00AA7D37"/>
    <w:rsid w:val="00AB53CA"/>
    <w:rsid w:val="00AD6809"/>
    <w:rsid w:val="00AE0B25"/>
    <w:rsid w:val="00AE2345"/>
    <w:rsid w:val="00AE2FD8"/>
    <w:rsid w:val="00AE3A5A"/>
    <w:rsid w:val="00AE3E0D"/>
    <w:rsid w:val="00AE3E1C"/>
    <w:rsid w:val="00AF25F6"/>
    <w:rsid w:val="00AF2C49"/>
    <w:rsid w:val="00AF4987"/>
    <w:rsid w:val="00B2132E"/>
    <w:rsid w:val="00B230B3"/>
    <w:rsid w:val="00B24B24"/>
    <w:rsid w:val="00B32CE9"/>
    <w:rsid w:val="00B34ED6"/>
    <w:rsid w:val="00B46F8C"/>
    <w:rsid w:val="00B51908"/>
    <w:rsid w:val="00B6128E"/>
    <w:rsid w:val="00B617D9"/>
    <w:rsid w:val="00B673AE"/>
    <w:rsid w:val="00B71618"/>
    <w:rsid w:val="00B8647B"/>
    <w:rsid w:val="00BA407A"/>
    <w:rsid w:val="00BB55D2"/>
    <w:rsid w:val="00BB7A73"/>
    <w:rsid w:val="00BD1198"/>
    <w:rsid w:val="00BE6F9D"/>
    <w:rsid w:val="00C045DB"/>
    <w:rsid w:val="00C24E6F"/>
    <w:rsid w:val="00C25BB1"/>
    <w:rsid w:val="00C268C6"/>
    <w:rsid w:val="00C34665"/>
    <w:rsid w:val="00C35D4C"/>
    <w:rsid w:val="00C36F9C"/>
    <w:rsid w:val="00C50B5F"/>
    <w:rsid w:val="00C52224"/>
    <w:rsid w:val="00C53B6B"/>
    <w:rsid w:val="00C57A68"/>
    <w:rsid w:val="00C60FD6"/>
    <w:rsid w:val="00C6209A"/>
    <w:rsid w:val="00C62A43"/>
    <w:rsid w:val="00C6386C"/>
    <w:rsid w:val="00C82F2E"/>
    <w:rsid w:val="00C9050E"/>
    <w:rsid w:val="00C97B45"/>
    <w:rsid w:val="00CA0C9A"/>
    <w:rsid w:val="00CB298B"/>
    <w:rsid w:val="00CC0DA3"/>
    <w:rsid w:val="00CC5AE9"/>
    <w:rsid w:val="00CF15F0"/>
    <w:rsid w:val="00CF283D"/>
    <w:rsid w:val="00CF6B59"/>
    <w:rsid w:val="00CF6BFF"/>
    <w:rsid w:val="00D03E99"/>
    <w:rsid w:val="00D126EB"/>
    <w:rsid w:val="00D2057A"/>
    <w:rsid w:val="00D321BD"/>
    <w:rsid w:val="00D43B0E"/>
    <w:rsid w:val="00D466D0"/>
    <w:rsid w:val="00D612D5"/>
    <w:rsid w:val="00D61AE0"/>
    <w:rsid w:val="00D64BD2"/>
    <w:rsid w:val="00D747E8"/>
    <w:rsid w:val="00D75470"/>
    <w:rsid w:val="00D8070F"/>
    <w:rsid w:val="00D871B0"/>
    <w:rsid w:val="00DA6BAC"/>
    <w:rsid w:val="00DC110C"/>
    <w:rsid w:val="00DC1E40"/>
    <w:rsid w:val="00DC3B9B"/>
    <w:rsid w:val="00DD2EE4"/>
    <w:rsid w:val="00DD5616"/>
    <w:rsid w:val="00DE7E78"/>
    <w:rsid w:val="00E14FE9"/>
    <w:rsid w:val="00E174D1"/>
    <w:rsid w:val="00E2152D"/>
    <w:rsid w:val="00E22411"/>
    <w:rsid w:val="00E31F02"/>
    <w:rsid w:val="00E32636"/>
    <w:rsid w:val="00E35276"/>
    <w:rsid w:val="00E403D4"/>
    <w:rsid w:val="00E5376D"/>
    <w:rsid w:val="00E630AC"/>
    <w:rsid w:val="00E82A50"/>
    <w:rsid w:val="00E8385C"/>
    <w:rsid w:val="00E83E0F"/>
    <w:rsid w:val="00E906A7"/>
    <w:rsid w:val="00E92795"/>
    <w:rsid w:val="00E9369A"/>
    <w:rsid w:val="00E93E14"/>
    <w:rsid w:val="00EA127C"/>
    <w:rsid w:val="00EB0F29"/>
    <w:rsid w:val="00EB57C6"/>
    <w:rsid w:val="00EB7520"/>
    <w:rsid w:val="00EC1EFB"/>
    <w:rsid w:val="00ED36C7"/>
    <w:rsid w:val="00ED5061"/>
    <w:rsid w:val="00ED682B"/>
    <w:rsid w:val="00EF6201"/>
    <w:rsid w:val="00F02915"/>
    <w:rsid w:val="00F06279"/>
    <w:rsid w:val="00F26F79"/>
    <w:rsid w:val="00F3160C"/>
    <w:rsid w:val="00F363B6"/>
    <w:rsid w:val="00F36469"/>
    <w:rsid w:val="00F37FB2"/>
    <w:rsid w:val="00F41779"/>
    <w:rsid w:val="00F449F9"/>
    <w:rsid w:val="00F5047D"/>
    <w:rsid w:val="00F50FF7"/>
    <w:rsid w:val="00F54411"/>
    <w:rsid w:val="00F6233A"/>
    <w:rsid w:val="00F67498"/>
    <w:rsid w:val="00F70E08"/>
    <w:rsid w:val="00F70F66"/>
    <w:rsid w:val="00F732A3"/>
    <w:rsid w:val="00F7460E"/>
    <w:rsid w:val="00F74C7D"/>
    <w:rsid w:val="00F76478"/>
    <w:rsid w:val="00F76E09"/>
    <w:rsid w:val="00F77BD9"/>
    <w:rsid w:val="00F92305"/>
    <w:rsid w:val="00F96087"/>
    <w:rsid w:val="00FA52AE"/>
    <w:rsid w:val="00FB01AD"/>
    <w:rsid w:val="00FC101F"/>
    <w:rsid w:val="00FC3406"/>
    <w:rsid w:val="00FD056F"/>
    <w:rsid w:val="00FD2ACC"/>
    <w:rsid w:val="00FE410D"/>
    <w:rsid w:val="00FF0C50"/>
    <w:rsid w:val="00FF2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F310"/>
  <w15:docId w15:val="{07F3DF44-AD36-4068-BF98-E1B18BA6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31502C"/>
    <w:pPr>
      <w:keepNext/>
      <w:spacing w:before="200"/>
      <w:outlineLvl w:val="1"/>
    </w:pPr>
    <w:rPr>
      <w:rFonts w:ascii="Cambria" w:eastAsiaTheme="minorHAnsi" w:hAnsi="Cambria"/>
      <w:b/>
      <w:bCs/>
      <w:color w:val="4F81BD"/>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Felix Titling" w:hAnsi="Felix Titling"/>
      <w:b/>
      <w:bCs/>
    </w:rPr>
  </w:style>
  <w:style w:type="character" w:customStyle="1" w:styleId="TitleChar">
    <w:name w:val="Title Char"/>
    <w:basedOn w:val="DefaultParagraphFont"/>
    <w:link w:val="Title"/>
    <w:rPr>
      <w:rFonts w:ascii="Felix Titling" w:eastAsia="Times New Roman" w:hAnsi="Felix Titling" w:cs="Times New Roman"/>
      <w:b/>
      <w:bCs/>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NoSpacing">
    <w:name w:val="No Spacing"/>
    <w:basedOn w:val="Normal"/>
    <w:uiPriority w:val="1"/>
    <w:qFormat/>
    <w:rPr>
      <w:rFonts w:eastAsia="Calibri"/>
    </w:rPr>
  </w:style>
  <w:style w:type="character" w:customStyle="1" w:styleId="CharacterStyle1">
    <w:name w:val="Character Style 1"/>
    <w:uiPriority w:val="99"/>
    <w:rPr>
      <w:sz w:val="20"/>
      <w:szCs w:val="20"/>
    </w:rPr>
  </w:style>
  <w:style w:type="character" w:customStyle="1" w:styleId="CharacterStyle2">
    <w:name w:val="Character Style 2"/>
    <w:uiPriority w:val="99"/>
    <w:rPr>
      <w:rFonts w:ascii="Verdana" w:hAnsi="Verdana" w:cs="Verdana"/>
      <w:sz w:val="21"/>
      <w:szCs w:val="21"/>
    </w:rPr>
  </w:style>
  <w:style w:type="character" w:styleId="Hyperlink">
    <w:name w:val="Hyperlink"/>
    <w:basedOn w:val="DefaultParagraphFont"/>
    <w:uiPriority w:val="99"/>
    <w:rPr>
      <w:color w:val="0000FF"/>
      <w:u w:val="single"/>
    </w:r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
    <w:basedOn w:val="Normal"/>
    <w:link w:val="ListParagraphChar"/>
    <w:uiPriority w:val="34"/>
    <w:qFormat/>
    <w:pPr>
      <w:ind w:left="720"/>
      <w:contextualSpacing/>
    </w:pPr>
  </w:style>
  <w:style w:type="paragraph" w:styleId="NormalWeb">
    <w:name w:val="Normal (Web)"/>
    <w:basedOn w:val="Normal"/>
    <w:uiPriority w:val="99"/>
    <w:pPr>
      <w:spacing w:before="100" w:beforeAutospacing="1" w:after="100" w:afterAutospacing="1"/>
    </w:p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character" w:customStyle="1" w:styleId="ilad">
    <w:name w:val="il_ad"/>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1502C"/>
    <w:rPr>
      <w:rFonts w:ascii="Cambria" w:eastAsiaTheme="minorHAnsi" w:hAnsi="Cambria" w:cs="Times New Roman"/>
      <w:b/>
      <w:bCs/>
      <w:color w:val="4F81BD"/>
      <w:sz w:val="26"/>
      <w:szCs w:val="26"/>
      <w:lang w:eastAsia="ja-JP"/>
    </w:rPr>
  </w:style>
  <w:style w:type="paragraph" w:customStyle="1" w:styleId="Default">
    <w:name w:val="Default"/>
    <w:rsid w:val="00A00D62"/>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4043A4"/>
    <w:rPr>
      <w:color w:val="605E5C"/>
      <w:shd w:val="clear" w:color="auto" w:fill="E1DFDD"/>
    </w:rPr>
  </w:style>
  <w:style w:type="paragraph" w:customStyle="1" w:styleId="gmail-msonospacing">
    <w:name w:val="gmail-msonospacing"/>
    <w:basedOn w:val="Normal"/>
    <w:rsid w:val="00465818"/>
    <w:pPr>
      <w:spacing w:before="100" w:beforeAutospacing="1" w:after="100" w:afterAutospacing="1"/>
    </w:pPr>
    <w:rPr>
      <w:rFonts w:eastAsiaTheme="minorHAnsi"/>
      <w:lang w:val="en-GB" w:eastAsia="en-GB"/>
    </w:rPr>
  </w:style>
  <w:style w:type="paragraph" w:customStyle="1" w:styleId="paragraph">
    <w:name w:val="paragraph"/>
    <w:basedOn w:val="Normal"/>
    <w:rsid w:val="008C371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14368">
      <w:bodyDiv w:val="1"/>
      <w:marLeft w:val="0"/>
      <w:marRight w:val="0"/>
      <w:marTop w:val="0"/>
      <w:marBottom w:val="0"/>
      <w:divBdr>
        <w:top w:val="none" w:sz="0" w:space="0" w:color="auto"/>
        <w:left w:val="none" w:sz="0" w:space="0" w:color="auto"/>
        <w:bottom w:val="none" w:sz="0" w:space="0" w:color="auto"/>
        <w:right w:val="none" w:sz="0" w:space="0" w:color="auto"/>
      </w:divBdr>
    </w:div>
    <w:div w:id="356321058">
      <w:bodyDiv w:val="1"/>
      <w:marLeft w:val="0"/>
      <w:marRight w:val="0"/>
      <w:marTop w:val="0"/>
      <w:marBottom w:val="0"/>
      <w:divBdr>
        <w:top w:val="none" w:sz="0" w:space="0" w:color="auto"/>
        <w:left w:val="none" w:sz="0" w:space="0" w:color="auto"/>
        <w:bottom w:val="none" w:sz="0" w:space="0" w:color="auto"/>
        <w:right w:val="none" w:sz="0" w:space="0" w:color="auto"/>
      </w:divBdr>
    </w:div>
    <w:div w:id="402067662">
      <w:bodyDiv w:val="1"/>
      <w:marLeft w:val="0"/>
      <w:marRight w:val="0"/>
      <w:marTop w:val="0"/>
      <w:marBottom w:val="0"/>
      <w:divBdr>
        <w:top w:val="none" w:sz="0" w:space="0" w:color="auto"/>
        <w:left w:val="none" w:sz="0" w:space="0" w:color="auto"/>
        <w:bottom w:val="none" w:sz="0" w:space="0" w:color="auto"/>
        <w:right w:val="none" w:sz="0" w:space="0" w:color="auto"/>
      </w:divBdr>
    </w:div>
    <w:div w:id="454179382">
      <w:bodyDiv w:val="1"/>
      <w:marLeft w:val="0"/>
      <w:marRight w:val="0"/>
      <w:marTop w:val="0"/>
      <w:marBottom w:val="0"/>
      <w:divBdr>
        <w:top w:val="none" w:sz="0" w:space="0" w:color="auto"/>
        <w:left w:val="none" w:sz="0" w:space="0" w:color="auto"/>
        <w:bottom w:val="none" w:sz="0" w:space="0" w:color="auto"/>
        <w:right w:val="none" w:sz="0" w:space="0" w:color="auto"/>
      </w:divBdr>
    </w:div>
    <w:div w:id="475491190">
      <w:bodyDiv w:val="1"/>
      <w:marLeft w:val="0"/>
      <w:marRight w:val="0"/>
      <w:marTop w:val="0"/>
      <w:marBottom w:val="0"/>
      <w:divBdr>
        <w:top w:val="none" w:sz="0" w:space="0" w:color="auto"/>
        <w:left w:val="none" w:sz="0" w:space="0" w:color="auto"/>
        <w:bottom w:val="none" w:sz="0" w:space="0" w:color="auto"/>
        <w:right w:val="none" w:sz="0" w:space="0" w:color="auto"/>
      </w:divBdr>
    </w:div>
    <w:div w:id="555239843">
      <w:bodyDiv w:val="1"/>
      <w:marLeft w:val="0"/>
      <w:marRight w:val="0"/>
      <w:marTop w:val="0"/>
      <w:marBottom w:val="0"/>
      <w:divBdr>
        <w:top w:val="none" w:sz="0" w:space="0" w:color="auto"/>
        <w:left w:val="none" w:sz="0" w:space="0" w:color="auto"/>
        <w:bottom w:val="none" w:sz="0" w:space="0" w:color="auto"/>
        <w:right w:val="none" w:sz="0" w:space="0" w:color="auto"/>
      </w:divBdr>
    </w:div>
    <w:div w:id="563027664">
      <w:bodyDiv w:val="1"/>
      <w:marLeft w:val="0"/>
      <w:marRight w:val="0"/>
      <w:marTop w:val="0"/>
      <w:marBottom w:val="0"/>
      <w:divBdr>
        <w:top w:val="none" w:sz="0" w:space="0" w:color="auto"/>
        <w:left w:val="none" w:sz="0" w:space="0" w:color="auto"/>
        <w:bottom w:val="none" w:sz="0" w:space="0" w:color="auto"/>
        <w:right w:val="none" w:sz="0" w:space="0" w:color="auto"/>
      </w:divBdr>
    </w:div>
    <w:div w:id="585306296">
      <w:bodyDiv w:val="1"/>
      <w:marLeft w:val="0"/>
      <w:marRight w:val="0"/>
      <w:marTop w:val="0"/>
      <w:marBottom w:val="0"/>
      <w:divBdr>
        <w:top w:val="none" w:sz="0" w:space="0" w:color="auto"/>
        <w:left w:val="none" w:sz="0" w:space="0" w:color="auto"/>
        <w:bottom w:val="none" w:sz="0" w:space="0" w:color="auto"/>
        <w:right w:val="none" w:sz="0" w:space="0" w:color="auto"/>
      </w:divBdr>
    </w:div>
    <w:div w:id="626202197">
      <w:bodyDiv w:val="1"/>
      <w:marLeft w:val="0"/>
      <w:marRight w:val="0"/>
      <w:marTop w:val="0"/>
      <w:marBottom w:val="0"/>
      <w:divBdr>
        <w:top w:val="none" w:sz="0" w:space="0" w:color="auto"/>
        <w:left w:val="none" w:sz="0" w:space="0" w:color="auto"/>
        <w:bottom w:val="none" w:sz="0" w:space="0" w:color="auto"/>
        <w:right w:val="none" w:sz="0" w:space="0" w:color="auto"/>
      </w:divBdr>
    </w:div>
    <w:div w:id="665280564">
      <w:bodyDiv w:val="1"/>
      <w:marLeft w:val="0"/>
      <w:marRight w:val="0"/>
      <w:marTop w:val="0"/>
      <w:marBottom w:val="0"/>
      <w:divBdr>
        <w:top w:val="none" w:sz="0" w:space="0" w:color="auto"/>
        <w:left w:val="none" w:sz="0" w:space="0" w:color="auto"/>
        <w:bottom w:val="none" w:sz="0" w:space="0" w:color="auto"/>
        <w:right w:val="none" w:sz="0" w:space="0" w:color="auto"/>
      </w:divBdr>
    </w:div>
    <w:div w:id="673335241">
      <w:bodyDiv w:val="1"/>
      <w:marLeft w:val="0"/>
      <w:marRight w:val="0"/>
      <w:marTop w:val="0"/>
      <w:marBottom w:val="0"/>
      <w:divBdr>
        <w:top w:val="none" w:sz="0" w:space="0" w:color="auto"/>
        <w:left w:val="none" w:sz="0" w:space="0" w:color="auto"/>
        <w:bottom w:val="none" w:sz="0" w:space="0" w:color="auto"/>
        <w:right w:val="none" w:sz="0" w:space="0" w:color="auto"/>
      </w:divBdr>
    </w:div>
    <w:div w:id="687413102">
      <w:bodyDiv w:val="1"/>
      <w:marLeft w:val="0"/>
      <w:marRight w:val="0"/>
      <w:marTop w:val="0"/>
      <w:marBottom w:val="0"/>
      <w:divBdr>
        <w:top w:val="none" w:sz="0" w:space="0" w:color="auto"/>
        <w:left w:val="none" w:sz="0" w:space="0" w:color="auto"/>
        <w:bottom w:val="none" w:sz="0" w:space="0" w:color="auto"/>
        <w:right w:val="none" w:sz="0" w:space="0" w:color="auto"/>
      </w:divBdr>
    </w:div>
    <w:div w:id="740716433">
      <w:bodyDiv w:val="1"/>
      <w:marLeft w:val="0"/>
      <w:marRight w:val="0"/>
      <w:marTop w:val="0"/>
      <w:marBottom w:val="0"/>
      <w:divBdr>
        <w:top w:val="none" w:sz="0" w:space="0" w:color="auto"/>
        <w:left w:val="none" w:sz="0" w:space="0" w:color="auto"/>
        <w:bottom w:val="none" w:sz="0" w:space="0" w:color="auto"/>
        <w:right w:val="none" w:sz="0" w:space="0" w:color="auto"/>
      </w:divBdr>
    </w:div>
    <w:div w:id="765536010">
      <w:bodyDiv w:val="1"/>
      <w:marLeft w:val="0"/>
      <w:marRight w:val="0"/>
      <w:marTop w:val="0"/>
      <w:marBottom w:val="0"/>
      <w:divBdr>
        <w:top w:val="none" w:sz="0" w:space="0" w:color="auto"/>
        <w:left w:val="none" w:sz="0" w:space="0" w:color="auto"/>
        <w:bottom w:val="none" w:sz="0" w:space="0" w:color="auto"/>
        <w:right w:val="none" w:sz="0" w:space="0" w:color="auto"/>
      </w:divBdr>
    </w:div>
    <w:div w:id="814564064">
      <w:bodyDiv w:val="1"/>
      <w:marLeft w:val="0"/>
      <w:marRight w:val="0"/>
      <w:marTop w:val="0"/>
      <w:marBottom w:val="0"/>
      <w:divBdr>
        <w:top w:val="none" w:sz="0" w:space="0" w:color="auto"/>
        <w:left w:val="none" w:sz="0" w:space="0" w:color="auto"/>
        <w:bottom w:val="none" w:sz="0" w:space="0" w:color="auto"/>
        <w:right w:val="none" w:sz="0" w:space="0" w:color="auto"/>
      </w:divBdr>
      <w:divsChild>
        <w:div w:id="14701021">
          <w:marLeft w:val="0"/>
          <w:marRight w:val="0"/>
          <w:marTop w:val="0"/>
          <w:marBottom w:val="0"/>
          <w:divBdr>
            <w:top w:val="none" w:sz="0" w:space="0" w:color="auto"/>
            <w:left w:val="none" w:sz="0" w:space="0" w:color="auto"/>
            <w:bottom w:val="none" w:sz="0" w:space="0" w:color="auto"/>
            <w:right w:val="none" w:sz="0" w:space="0" w:color="auto"/>
          </w:divBdr>
        </w:div>
      </w:divsChild>
    </w:div>
    <w:div w:id="815729705">
      <w:bodyDiv w:val="1"/>
      <w:marLeft w:val="0"/>
      <w:marRight w:val="0"/>
      <w:marTop w:val="0"/>
      <w:marBottom w:val="0"/>
      <w:divBdr>
        <w:top w:val="none" w:sz="0" w:space="0" w:color="auto"/>
        <w:left w:val="none" w:sz="0" w:space="0" w:color="auto"/>
        <w:bottom w:val="none" w:sz="0" w:space="0" w:color="auto"/>
        <w:right w:val="none" w:sz="0" w:space="0" w:color="auto"/>
      </w:divBdr>
    </w:div>
    <w:div w:id="938222909">
      <w:bodyDiv w:val="1"/>
      <w:marLeft w:val="0"/>
      <w:marRight w:val="0"/>
      <w:marTop w:val="0"/>
      <w:marBottom w:val="0"/>
      <w:divBdr>
        <w:top w:val="none" w:sz="0" w:space="0" w:color="auto"/>
        <w:left w:val="none" w:sz="0" w:space="0" w:color="auto"/>
        <w:bottom w:val="none" w:sz="0" w:space="0" w:color="auto"/>
        <w:right w:val="none" w:sz="0" w:space="0" w:color="auto"/>
      </w:divBdr>
    </w:div>
    <w:div w:id="967276517">
      <w:bodyDiv w:val="1"/>
      <w:marLeft w:val="0"/>
      <w:marRight w:val="0"/>
      <w:marTop w:val="0"/>
      <w:marBottom w:val="0"/>
      <w:divBdr>
        <w:top w:val="none" w:sz="0" w:space="0" w:color="auto"/>
        <w:left w:val="none" w:sz="0" w:space="0" w:color="auto"/>
        <w:bottom w:val="none" w:sz="0" w:space="0" w:color="auto"/>
        <w:right w:val="none" w:sz="0" w:space="0" w:color="auto"/>
      </w:divBdr>
    </w:div>
    <w:div w:id="977878789">
      <w:bodyDiv w:val="1"/>
      <w:marLeft w:val="0"/>
      <w:marRight w:val="0"/>
      <w:marTop w:val="0"/>
      <w:marBottom w:val="0"/>
      <w:divBdr>
        <w:top w:val="none" w:sz="0" w:space="0" w:color="auto"/>
        <w:left w:val="none" w:sz="0" w:space="0" w:color="auto"/>
        <w:bottom w:val="none" w:sz="0" w:space="0" w:color="auto"/>
        <w:right w:val="none" w:sz="0" w:space="0" w:color="auto"/>
      </w:divBdr>
    </w:div>
    <w:div w:id="1153909856">
      <w:bodyDiv w:val="1"/>
      <w:marLeft w:val="0"/>
      <w:marRight w:val="0"/>
      <w:marTop w:val="0"/>
      <w:marBottom w:val="0"/>
      <w:divBdr>
        <w:top w:val="none" w:sz="0" w:space="0" w:color="auto"/>
        <w:left w:val="none" w:sz="0" w:space="0" w:color="auto"/>
        <w:bottom w:val="none" w:sz="0" w:space="0" w:color="auto"/>
        <w:right w:val="none" w:sz="0" w:space="0" w:color="auto"/>
      </w:divBdr>
    </w:div>
    <w:div w:id="1177765390">
      <w:bodyDiv w:val="1"/>
      <w:marLeft w:val="0"/>
      <w:marRight w:val="0"/>
      <w:marTop w:val="0"/>
      <w:marBottom w:val="0"/>
      <w:divBdr>
        <w:top w:val="none" w:sz="0" w:space="0" w:color="auto"/>
        <w:left w:val="none" w:sz="0" w:space="0" w:color="auto"/>
        <w:bottom w:val="none" w:sz="0" w:space="0" w:color="auto"/>
        <w:right w:val="none" w:sz="0" w:space="0" w:color="auto"/>
      </w:divBdr>
    </w:div>
    <w:div w:id="1214849683">
      <w:bodyDiv w:val="1"/>
      <w:marLeft w:val="0"/>
      <w:marRight w:val="0"/>
      <w:marTop w:val="0"/>
      <w:marBottom w:val="0"/>
      <w:divBdr>
        <w:top w:val="none" w:sz="0" w:space="0" w:color="auto"/>
        <w:left w:val="none" w:sz="0" w:space="0" w:color="auto"/>
        <w:bottom w:val="none" w:sz="0" w:space="0" w:color="auto"/>
        <w:right w:val="none" w:sz="0" w:space="0" w:color="auto"/>
      </w:divBdr>
    </w:div>
    <w:div w:id="1248416812">
      <w:bodyDiv w:val="1"/>
      <w:marLeft w:val="0"/>
      <w:marRight w:val="0"/>
      <w:marTop w:val="0"/>
      <w:marBottom w:val="0"/>
      <w:divBdr>
        <w:top w:val="none" w:sz="0" w:space="0" w:color="auto"/>
        <w:left w:val="none" w:sz="0" w:space="0" w:color="auto"/>
        <w:bottom w:val="none" w:sz="0" w:space="0" w:color="auto"/>
        <w:right w:val="none" w:sz="0" w:space="0" w:color="auto"/>
      </w:divBdr>
    </w:div>
    <w:div w:id="1342198935">
      <w:bodyDiv w:val="1"/>
      <w:marLeft w:val="0"/>
      <w:marRight w:val="0"/>
      <w:marTop w:val="0"/>
      <w:marBottom w:val="0"/>
      <w:divBdr>
        <w:top w:val="none" w:sz="0" w:space="0" w:color="auto"/>
        <w:left w:val="none" w:sz="0" w:space="0" w:color="auto"/>
        <w:bottom w:val="none" w:sz="0" w:space="0" w:color="auto"/>
        <w:right w:val="none" w:sz="0" w:space="0" w:color="auto"/>
      </w:divBdr>
    </w:div>
    <w:div w:id="1448696099">
      <w:bodyDiv w:val="1"/>
      <w:marLeft w:val="0"/>
      <w:marRight w:val="0"/>
      <w:marTop w:val="0"/>
      <w:marBottom w:val="0"/>
      <w:divBdr>
        <w:top w:val="none" w:sz="0" w:space="0" w:color="auto"/>
        <w:left w:val="none" w:sz="0" w:space="0" w:color="auto"/>
        <w:bottom w:val="none" w:sz="0" w:space="0" w:color="auto"/>
        <w:right w:val="none" w:sz="0" w:space="0" w:color="auto"/>
      </w:divBdr>
    </w:div>
    <w:div w:id="1494299315">
      <w:bodyDiv w:val="1"/>
      <w:marLeft w:val="0"/>
      <w:marRight w:val="0"/>
      <w:marTop w:val="0"/>
      <w:marBottom w:val="0"/>
      <w:divBdr>
        <w:top w:val="none" w:sz="0" w:space="0" w:color="auto"/>
        <w:left w:val="none" w:sz="0" w:space="0" w:color="auto"/>
        <w:bottom w:val="none" w:sz="0" w:space="0" w:color="auto"/>
        <w:right w:val="none" w:sz="0" w:space="0" w:color="auto"/>
      </w:divBdr>
    </w:div>
    <w:div w:id="1513761281">
      <w:bodyDiv w:val="1"/>
      <w:marLeft w:val="0"/>
      <w:marRight w:val="0"/>
      <w:marTop w:val="0"/>
      <w:marBottom w:val="0"/>
      <w:divBdr>
        <w:top w:val="none" w:sz="0" w:space="0" w:color="auto"/>
        <w:left w:val="none" w:sz="0" w:space="0" w:color="auto"/>
        <w:bottom w:val="none" w:sz="0" w:space="0" w:color="auto"/>
        <w:right w:val="none" w:sz="0" w:space="0" w:color="auto"/>
      </w:divBdr>
    </w:div>
    <w:div w:id="1621909577">
      <w:bodyDiv w:val="1"/>
      <w:marLeft w:val="0"/>
      <w:marRight w:val="0"/>
      <w:marTop w:val="0"/>
      <w:marBottom w:val="0"/>
      <w:divBdr>
        <w:top w:val="none" w:sz="0" w:space="0" w:color="auto"/>
        <w:left w:val="none" w:sz="0" w:space="0" w:color="auto"/>
        <w:bottom w:val="none" w:sz="0" w:space="0" w:color="auto"/>
        <w:right w:val="none" w:sz="0" w:space="0" w:color="auto"/>
      </w:divBdr>
    </w:div>
    <w:div w:id="1667980158">
      <w:bodyDiv w:val="1"/>
      <w:marLeft w:val="0"/>
      <w:marRight w:val="0"/>
      <w:marTop w:val="0"/>
      <w:marBottom w:val="0"/>
      <w:divBdr>
        <w:top w:val="none" w:sz="0" w:space="0" w:color="auto"/>
        <w:left w:val="none" w:sz="0" w:space="0" w:color="auto"/>
        <w:bottom w:val="none" w:sz="0" w:space="0" w:color="auto"/>
        <w:right w:val="none" w:sz="0" w:space="0" w:color="auto"/>
      </w:divBdr>
    </w:div>
    <w:div w:id="1671787903">
      <w:bodyDiv w:val="1"/>
      <w:marLeft w:val="0"/>
      <w:marRight w:val="0"/>
      <w:marTop w:val="0"/>
      <w:marBottom w:val="0"/>
      <w:divBdr>
        <w:top w:val="none" w:sz="0" w:space="0" w:color="auto"/>
        <w:left w:val="none" w:sz="0" w:space="0" w:color="auto"/>
        <w:bottom w:val="none" w:sz="0" w:space="0" w:color="auto"/>
        <w:right w:val="none" w:sz="0" w:space="0" w:color="auto"/>
      </w:divBdr>
    </w:div>
    <w:div w:id="1885678184">
      <w:bodyDiv w:val="1"/>
      <w:marLeft w:val="0"/>
      <w:marRight w:val="0"/>
      <w:marTop w:val="0"/>
      <w:marBottom w:val="0"/>
      <w:divBdr>
        <w:top w:val="none" w:sz="0" w:space="0" w:color="auto"/>
        <w:left w:val="none" w:sz="0" w:space="0" w:color="auto"/>
        <w:bottom w:val="none" w:sz="0" w:space="0" w:color="auto"/>
        <w:right w:val="none" w:sz="0" w:space="0" w:color="auto"/>
      </w:divBdr>
    </w:div>
    <w:div w:id="1893803410">
      <w:bodyDiv w:val="1"/>
      <w:marLeft w:val="0"/>
      <w:marRight w:val="0"/>
      <w:marTop w:val="0"/>
      <w:marBottom w:val="0"/>
      <w:divBdr>
        <w:top w:val="none" w:sz="0" w:space="0" w:color="auto"/>
        <w:left w:val="none" w:sz="0" w:space="0" w:color="auto"/>
        <w:bottom w:val="none" w:sz="0" w:space="0" w:color="auto"/>
        <w:right w:val="none" w:sz="0" w:space="0" w:color="auto"/>
      </w:divBdr>
    </w:div>
    <w:div w:id="1998217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p.gov.pk/document/guidance-paper-relating-to-issuance-of-convertible-debt-securities/?wpdmdl=42210&amp;refresh=607fca6524114161898762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Aalam Islam</dc:creator>
  <cp:lastModifiedBy>Muhammad Sajid Gondal</cp:lastModifiedBy>
  <cp:revision>2</cp:revision>
  <cp:lastPrinted>2021-04-21T09:12:00Z</cp:lastPrinted>
  <dcterms:created xsi:type="dcterms:W3CDTF">2021-04-21T10:22:00Z</dcterms:created>
  <dcterms:modified xsi:type="dcterms:W3CDTF">2021-04-21T10:22:00Z</dcterms:modified>
</cp:coreProperties>
</file>